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8"/>
                <w:szCs w:val="18"/>
                <w:b w:val="1"/>
                <w:bCs w:val="1"/>
                <w:color w:val="auto"/>
                <w:w w:val="85"/>
              </w:rPr>
              <w:t>Massachusetts</w:t>
            </w:r>
          </w:p>
        </w:tc>
        <w:tc>
          <w:tcPr>
            <w:tcW w:w="2240" w:type="dxa"/>
            <w:vAlign w:val="bottom"/>
          </w:tcPr>
          <w:p>
            <w:pPr>
              <w:spacing w:after="0"/>
              <w:rPr>
                <w:sz w:val="20"/>
                <w:szCs w:val="20"/>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04-2911026</w:t>
            </w:r>
          </w:p>
        </w:tc>
        <w:tc>
          <w:tcPr>
            <w:tcW w:w="90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r>
      <w:tr>
        <w:trPr>
          <w:trHeight w:val="202"/>
        </w:trPr>
        <w:tc>
          <w:tcPr>
            <w:tcW w:w="3920" w:type="dxa"/>
            <w:vAlign w:val="bottom"/>
            <w:gridSpan w:val="3"/>
          </w:tcPr>
          <w:p>
            <w:pPr>
              <w:spacing w:after="0" w:line="201" w:lineRule="exact"/>
              <w:rPr>
                <w:sz w:val="20"/>
                <w:szCs w:val="20"/>
                <w:color w:val="auto"/>
              </w:rPr>
            </w:pPr>
            <w:r>
              <w:rPr>
                <w:rFonts w:ascii="Arial" w:cs="Arial" w:eastAsia="Arial" w:hAnsi="Arial"/>
                <w:sz w:val="18"/>
                <w:szCs w:val="18"/>
                <w:color w:val="auto"/>
              </w:rPr>
              <w:t>(State or Other Jurisdiction of</w:t>
            </w:r>
          </w:p>
        </w:tc>
        <w:tc>
          <w:tcPr>
            <w:tcW w:w="4340" w:type="dxa"/>
            <w:vAlign w:val="bottom"/>
            <w:gridSpan w:val="3"/>
          </w:tcPr>
          <w:p>
            <w:pPr>
              <w:ind w:left="172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2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October 21, 2013:</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Class</w:t>
            </w:r>
          </w:p>
        </w:tc>
        <w:tc>
          <w:tcPr>
            <w:tcW w:w="5380" w:type="dxa"/>
            <w:vAlign w:val="bottom"/>
          </w:tcPr>
          <w:p>
            <w:pPr>
              <w:spacing w:after="0"/>
              <w:rPr>
                <w:sz w:val="20"/>
                <w:szCs w:val="20"/>
                <w:color w:val="auto"/>
              </w:rPr>
            </w:pP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Number of Shares Outstanding</w:t>
            </w:r>
          </w:p>
        </w:tc>
        <w:tc>
          <w:tcPr>
            <w:tcW w:w="1940" w:type="dxa"/>
            <w:vAlign w:val="bottom"/>
          </w:tcPr>
          <w:p>
            <w:pPr>
              <w:spacing w:after="0"/>
              <w:rPr>
                <w:sz w:val="20"/>
                <w:szCs w:val="20"/>
                <w:color w:val="auto"/>
              </w:rPr>
            </w:pP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2480" w:type="dxa"/>
            <w:vAlign w:val="bottom"/>
          </w:tcPr>
          <w:p>
            <w:pPr>
              <w:ind w:left="660"/>
              <w:spacing w:after="0"/>
              <w:rPr>
                <w:sz w:val="20"/>
                <w:szCs w:val="20"/>
                <w:color w:val="auto"/>
              </w:rPr>
            </w:pPr>
            <w:r>
              <w:rPr>
                <w:rFonts w:ascii="Arial" w:cs="Arial" w:eastAsia="Arial" w:hAnsi="Arial"/>
                <w:sz w:val="18"/>
                <w:szCs w:val="18"/>
                <w:color w:val="auto"/>
              </w:rPr>
              <w:t>22,570,794 shares</w:t>
            </w:r>
          </w:p>
        </w:tc>
        <w:tc>
          <w:tcPr>
            <w:tcW w:w="1940" w:type="dxa"/>
            <w:vAlign w:val="bottom"/>
          </w:tcPr>
          <w:p>
            <w:pPr>
              <w:spacing w:after="0"/>
              <w:rPr>
                <w:sz w:val="20"/>
                <w:szCs w:val="20"/>
                <w:color w:val="auto"/>
              </w:rPr>
            </w:pPr>
          </w:p>
        </w:tc>
      </w:tr>
      <w:tr>
        <w:trPr>
          <w:trHeight w:val="77"/>
        </w:trPr>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3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940" w:type="dxa"/>
            <w:vAlign w:val="bottom"/>
          </w:tcPr>
          <w:p>
            <w:pPr>
              <w:spacing w:after="0"/>
              <w:rPr>
                <w:sz w:val="6"/>
                <w:szCs w:val="6"/>
                <w:color w:val="auto"/>
              </w:rPr>
            </w:pPr>
          </w:p>
        </w:tc>
      </w:tr>
      <w:tr>
        <w:trPr>
          <w:trHeight w:val="71"/>
        </w:trPr>
        <w:tc>
          <w:tcPr>
            <w:tcW w:w="104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5380" w:type="dxa"/>
            <w:vAlign w:val="bottom"/>
            <w:shd w:val="clear" w:color="auto" w:fill="808080"/>
          </w:tcPr>
          <w:p>
            <w:pPr>
              <w:spacing w:after="0"/>
              <w:rPr>
                <w:sz w:val="6"/>
                <w:szCs w:val="6"/>
                <w:color w:val="auto"/>
              </w:rPr>
            </w:pPr>
          </w:p>
        </w:tc>
        <w:tc>
          <w:tcPr>
            <w:tcW w:w="2480" w:type="dxa"/>
            <w:vAlign w:val="bottom"/>
            <w:shd w:val="clear" w:color="auto" w:fill="808080"/>
          </w:tcPr>
          <w:p>
            <w:pPr>
              <w:spacing w:after="0"/>
              <w:rPr>
                <w:sz w:val="6"/>
                <w:szCs w:val="6"/>
                <w:color w:val="auto"/>
              </w:rPr>
            </w:pPr>
          </w:p>
        </w:tc>
        <w:tc>
          <w:tcPr>
            <w:tcW w:w="1940" w:type="dxa"/>
            <w:vAlign w:val="bottom"/>
            <w:shd w:val="clear" w:color="auto" w:fill="808080"/>
          </w:tcPr>
          <w:p>
            <w:pPr>
              <w:spacing w:after="0"/>
              <w:rPr>
                <w:sz w:val="6"/>
                <w:szCs w:val="6"/>
                <w:color w:val="auto"/>
              </w:rPr>
            </w:pPr>
          </w:p>
        </w:tc>
      </w:tr>
      <w:tr>
        <w:trPr>
          <w:trHeight w:val="419"/>
        </w:trPr>
        <w:tc>
          <w:tcPr>
            <w:tcW w:w="10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5380" w:type="dxa"/>
            <w:vAlign w:val="bottom"/>
            <w:tcBorders>
              <w:bottom w:val="single" w:sz="8" w:color="DCDCDC"/>
            </w:tcBorders>
          </w:tcPr>
          <w:p>
            <w:pPr>
              <w:spacing w:after="0"/>
              <w:rPr>
                <w:sz w:val="24"/>
                <w:szCs w:val="24"/>
                <w:color w:val="auto"/>
              </w:rPr>
            </w:pPr>
          </w:p>
        </w:tc>
        <w:tc>
          <w:tcPr>
            <w:tcW w:w="2480" w:type="dxa"/>
            <w:vAlign w:val="bottom"/>
            <w:tcBorders>
              <w:bottom w:val="single" w:sz="8" w:color="DCDCDC"/>
            </w:tcBorders>
          </w:tcPr>
          <w:p>
            <w:pPr>
              <w:spacing w:after="0"/>
              <w:rPr>
                <w:sz w:val="24"/>
                <w:szCs w:val="24"/>
                <w:color w:val="auto"/>
              </w:rPr>
            </w:pPr>
          </w:p>
        </w:tc>
        <w:tc>
          <w:tcPr>
            <w:tcW w:w="19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1002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Consolidated Balance Sheets as of September 30, 2013 and December 31, 2012</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w w:val="93"/>
              </w:rPr>
              <w:t>Consolidated Statements of Comprehensive Income for the Three and Nine Months Ended September 30, 2013 and September 30,</w:t>
            </w:r>
          </w:p>
        </w:tc>
        <w:tc>
          <w:tcPr>
            <w:tcW w:w="5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2012</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Nine Months Ended September 30, 2013 and September 30, 2012</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1002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20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40" w:type="dxa"/>
            <w:vAlign w:val="bottom"/>
          </w:tcPr>
          <w:p>
            <w:pPr>
              <w:spacing w:after="0"/>
              <w:rPr>
                <w:sz w:val="24"/>
                <w:szCs w:val="24"/>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675"/>
        </w:trPr>
        <w:tc>
          <w:tcPr>
            <w:tcW w:w="840" w:type="dxa"/>
            <w:vAlign w:val="bottom"/>
            <w:tcBorders>
              <w:bottom w:val="single" w:sz="8" w:color="DCDCDC"/>
            </w:tcBorders>
          </w:tcPr>
          <w:p>
            <w:pPr>
              <w:spacing w:after="0"/>
              <w:rPr>
                <w:sz w:val="24"/>
                <w:szCs w:val="24"/>
                <w:color w:val="auto"/>
              </w:rPr>
            </w:pPr>
          </w:p>
        </w:tc>
        <w:tc>
          <w:tcPr>
            <w:tcW w:w="10020" w:type="dxa"/>
            <w:vAlign w:val="bottom"/>
            <w:tcBorders>
              <w:bottom w:val="single" w:sz="8" w:color="DCDCDC"/>
            </w:tcBorders>
          </w:tcPr>
          <w:p>
            <w:pPr>
              <w:ind w:left="482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(audited)</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Receivable from patent arrangement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76,997</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Due to customers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3"/>
        </w:trPr>
        <w:tc>
          <w:tcPr>
            <w:tcW w:w="88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8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80"/>
              <w:spacing w:after="0"/>
              <w:rPr>
                <w:sz w:val="20"/>
                <w:szCs w:val="20"/>
                <w:color w:val="auto"/>
              </w:rPr>
            </w:pPr>
            <w:r>
              <w:rPr>
                <w:rFonts w:ascii="Arial" w:cs="Arial" w:eastAsia="Arial" w:hAnsi="Arial"/>
                <w:sz w:val="18"/>
                <w:szCs w:val="18"/>
                <w:color w:val="auto"/>
              </w:rPr>
              <w:t>and outstanding 22,570,794 as of September 30, 2013 and 22,509,518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80"/>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100,917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100,561</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23"/>
        </w:trPr>
        <w:tc>
          <w:tcPr>
            <w:tcW w:w="882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83,257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432"/>
        </w:trPr>
        <w:tc>
          <w:tcPr>
            <w:tcW w:w="88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89,647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center"/>
        <w:ind w:right="34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3,387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Hardware sales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50"/>
        </w:trPr>
        <w:tc>
          <w:tcPr>
            <w:tcW w:w="5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14,936</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Cost of hardware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Research and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development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General and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administrative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50"/>
        </w:trPr>
        <w:tc>
          <w:tcPr>
            <w:tcW w:w="5740" w:type="dxa"/>
            <w:vAlign w:val="bottom"/>
          </w:tcPr>
          <w:p>
            <w:pPr>
              <w:ind w:left="180"/>
              <w:spacing w:after="0"/>
              <w:rPr>
                <w:sz w:val="20"/>
                <w:szCs w:val="20"/>
                <w:color w:val="auto"/>
              </w:rPr>
            </w:pPr>
            <w:r>
              <w:rPr>
                <w:rFonts w:ascii="Arial" w:cs="Arial" w:eastAsia="Arial" w:hAnsi="Arial"/>
                <w:sz w:val="18"/>
                <w:szCs w:val="18"/>
                <w:color w:val="auto"/>
              </w:rPr>
              <w:t>Exit costs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Pr>
          <w:p>
            <w:pPr>
              <w:ind w:left="48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14,802</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Operating income (loss) before patent related income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Gain on sale of patent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0"/>
                <w:szCs w:val="20"/>
                <w:color w:val="auto"/>
              </w:rPr>
            </w:pPr>
            <w:r>
              <w:rPr>
                <w:rFonts w:ascii="Arial" w:cs="Arial" w:eastAsia="Arial" w:hAnsi="Arial"/>
                <w:sz w:val="18"/>
                <w:szCs w:val="18"/>
                <w:color w:val="auto"/>
              </w:rPr>
              <w:t>Income from patent arrangement;</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Operating income (loss) after patent related income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(2,161)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16,613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89,007</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89,229</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23,248</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10,297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Basic net income (loss) per share from continuing operations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0"/>
        </w:trPr>
        <w:tc>
          <w:tcPr>
            <w:tcW w:w="5740" w:type="dxa"/>
            <w:vAlign w:val="bottom"/>
          </w:tcPr>
          <w:p>
            <w:pPr>
              <w:ind w:left="120"/>
              <w:spacing w:after="0"/>
              <w:rPr>
                <w:sz w:val="20"/>
                <w:szCs w:val="20"/>
                <w:color w:val="auto"/>
              </w:rPr>
            </w:pPr>
            <w:r>
              <w:rPr>
                <w:rFonts w:ascii="Arial" w:cs="Arial" w:eastAsia="Arial" w:hAnsi="Arial"/>
                <w:sz w:val="18"/>
                <w:szCs w:val="18"/>
                <w:color w:val="auto"/>
              </w:rPr>
              <w:t>Basic net income per share from discontinued operations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Diluted net income (loss) per share from continuing operations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0"/>
        </w:trPr>
        <w:tc>
          <w:tcPr>
            <w:tcW w:w="5740" w:type="dxa"/>
            <w:vAlign w:val="bottom"/>
          </w:tcPr>
          <w:p>
            <w:pPr>
              <w:ind w:left="120"/>
              <w:spacing w:after="0"/>
              <w:rPr>
                <w:sz w:val="20"/>
                <w:szCs w:val="20"/>
                <w:color w:val="auto"/>
              </w:rPr>
            </w:pPr>
            <w:r>
              <w:rPr>
                <w:rFonts w:ascii="Arial" w:cs="Arial" w:eastAsia="Arial" w:hAnsi="Arial"/>
                <w:sz w:val="18"/>
                <w:szCs w:val="18"/>
                <w:color w:val="auto"/>
              </w:rPr>
              <w:t>Diluted net income per share from discontinued operations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4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22,339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10,297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40" w:type="dxa"/>
            <w:vAlign w:val="bottom"/>
          </w:tcPr>
          <w:p>
            <w:pPr>
              <w:ind w:left="260"/>
              <w:spacing w:after="0"/>
              <w:rPr>
                <w:sz w:val="20"/>
                <w:szCs w:val="20"/>
                <w:color w:val="auto"/>
              </w:rPr>
            </w:pPr>
            <w:r>
              <w:rPr>
                <w:rFonts w:ascii="Arial" w:cs="Arial" w:eastAsia="Arial" w:hAnsi="Arial"/>
                <w:sz w:val="18"/>
                <w:szCs w:val="18"/>
                <w:color w:val="auto"/>
              </w:rPr>
              <w:t>Unrealized gains (losses) on available for sale securities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66,357</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91" w:right="239" w:bottom="613"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patent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 (discount) on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Receivable from patent arrangement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20" w:type="dxa"/>
            <w:vAlign w:val="bottom"/>
          </w:tcPr>
          <w:p>
            <w:pPr>
              <w:ind w:left="52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820" w:type="dxa"/>
            <w:vAlign w:val="bottom"/>
          </w:tcPr>
          <w:p>
            <w:pPr>
              <w:ind w:left="56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Due to customers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5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sale of patent assets, net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86,142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(25,506)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15,761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Payments made for taxes of employees who surrendered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360"/>
              <w:spacing w:after="0"/>
              <w:rPr>
                <w:sz w:val="20"/>
                <w:szCs w:val="20"/>
                <w:color w:val="auto"/>
              </w:rPr>
            </w:pPr>
            <w:r>
              <w:rPr>
                <w:rFonts w:ascii="Arial" w:cs="Arial" w:eastAsia="Arial" w:hAnsi="Arial"/>
                <w:sz w:val="18"/>
                <w:szCs w:val="18"/>
                <w:color w:val="auto"/>
              </w:rPr>
              <w:t>shares related to unrestricted 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68,014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114,591</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2012 in conjunction with our 2012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sheets, statements of comprehensive income, and statements of cash flows reflect all adjustments (consisting only of normal recurring items) which are, in the opinion of management, necessary for a fair presentation of financial position at September 30, 2013, and of operations and cash flows for the interim periods ended September 30, 2013 and 2012.</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September 30, 2013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$75.4 million and $71.1 million as of September 30, 2013 and December 31, 2012, respectively. We classified our cash equivalents of $70.4 million and $67.1 million as of September 30, 2013 and December 31, 2012, respectively,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$3.0 million and $2.0 million of available-for-sale investments as of September 30, 2013 and December 31, 2012, respectively.</w:t>
      </w:r>
    </w:p>
    <w:p>
      <w:pPr>
        <w:spacing w:after="0" w:line="192"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September 30, 2013,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6"/>
          </w:tcPr>
          <w:p>
            <w:pPr>
              <w:jc w:val="right"/>
              <w:ind w:right="75"/>
              <w:spacing w:after="0"/>
              <w:rPr>
                <w:sz w:val="20"/>
                <w:szCs w:val="20"/>
                <w:color w:val="auto"/>
              </w:rPr>
            </w:pPr>
            <w:r>
              <w:rPr>
                <w:rFonts w:ascii="Arial" w:cs="Arial" w:eastAsia="Arial" w:hAnsi="Arial"/>
                <w:sz w:val="18"/>
                <w:szCs w:val="18"/>
                <w:color w:val="auto"/>
                <w:w w:val="92"/>
              </w:rPr>
              <w:t>Fair Value Measurement at September 30, 2013 Using:</w:t>
            </w:r>
          </w:p>
        </w:tc>
        <w:tc>
          <w:tcPr>
            <w:tcW w:w="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5"/>
              </w:rPr>
              <w:t>Active Markets for</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Significant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Identical Assets</w:t>
            </w:r>
          </w:p>
        </w:tc>
        <w:tc>
          <w:tcPr>
            <w:tcW w:w="120" w:type="dxa"/>
            <w:vAlign w:val="bottom"/>
          </w:tcPr>
          <w:p>
            <w:pPr>
              <w:spacing w:after="0"/>
              <w:rPr>
                <w:sz w:val="18"/>
                <w:szCs w:val="18"/>
                <w:color w:val="auto"/>
              </w:rPr>
            </w:pPr>
          </w:p>
        </w:tc>
        <w:tc>
          <w:tcPr>
            <w:tcW w:w="15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2)</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(Level 3)</w:t>
            </w:r>
          </w:p>
        </w:tc>
        <w:tc>
          <w:tcPr>
            <w:tcW w:w="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Corporate debt securities</w:t>
            </w:r>
          </w:p>
        </w:tc>
        <w:tc>
          <w:tcPr>
            <w:tcW w:w="1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2,962</w:t>
            </w:r>
          </w:p>
        </w:tc>
        <w:tc>
          <w:tcPr>
            <w:tcW w:w="120" w:type="dxa"/>
            <w:vAlign w:val="bottom"/>
          </w:tcPr>
          <w:p>
            <w:pPr>
              <w:spacing w:after="0"/>
              <w:rPr>
                <w:sz w:val="17"/>
                <w:szCs w:val="17"/>
                <w:color w:val="auto"/>
              </w:rPr>
            </w:pPr>
          </w:p>
        </w:tc>
        <w:tc>
          <w:tcPr>
            <w:tcW w:w="1320" w:type="dxa"/>
            <w:vAlign w:val="bottom"/>
          </w:tcPr>
          <w:p>
            <w:pPr>
              <w:jc w:val="right"/>
              <w:ind w:right="1156"/>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100" w:type="dxa"/>
            <w:vAlign w:val="bottom"/>
          </w:tcPr>
          <w:p>
            <w:pPr>
              <w:jc w:val="right"/>
              <w:ind w:right="935"/>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70,408</w:t>
            </w: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73,370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15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3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80" w:type="dxa"/>
            <w:vAlign w:val="bottom"/>
            <w:tcBorders>
              <w:bottom w:val="single" w:sz="8" w:color="DCDCDC"/>
            </w:tcBorders>
          </w:tcPr>
          <w:p>
            <w:pPr>
              <w:spacing w:after="0"/>
              <w:rPr>
                <w:sz w:val="24"/>
                <w:szCs w:val="24"/>
                <w:color w:val="auto"/>
              </w:rPr>
            </w:pPr>
          </w:p>
        </w:tc>
        <w:tc>
          <w:tcPr>
            <w:tcW w:w="1400" w:type="dxa"/>
            <w:vAlign w:val="bottom"/>
            <w:tcBorders>
              <w:bottom w:val="single" w:sz="8" w:color="DCDCDC"/>
            </w:tcBorders>
            <w:vMerge w:val="continue"/>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2012,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8"/>
                <w:szCs w:val="18"/>
                <w:color w:val="auto"/>
                <w:w w:val="93"/>
              </w:rPr>
              <w:t>Fair Value Measurement at December 31, 2012 Using:</w:t>
            </w:r>
          </w:p>
        </w:tc>
        <w:tc>
          <w:tcPr>
            <w:tcW w:w="160" w:type="dxa"/>
            <w:vAlign w:val="bottom"/>
            <w:tcBorders>
              <w:bottom w:val="single" w:sz="8" w:color="auto"/>
            </w:tcBorders>
          </w:tcPr>
          <w:p>
            <w:pPr>
              <w:spacing w:after="0"/>
              <w:rPr>
                <w:sz w:val="20"/>
                <w:szCs w:val="20"/>
                <w:color w:val="auto"/>
              </w:rPr>
            </w:pPr>
          </w:p>
        </w:tc>
      </w:tr>
      <w:tr>
        <w:trPr>
          <w:trHeight w:val="202"/>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7"/>
                <w:szCs w:val="17"/>
                <w:color w:val="auto"/>
              </w:rPr>
            </w:pPr>
          </w:p>
        </w:tc>
      </w:tr>
      <w:tr>
        <w:trPr>
          <w:trHeight w:val="216"/>
        </w:trPr>
        <w:tc>
          <w:tcPr>
            <w:tcW w:w="6240" w:type="dxa"/>
            <w:vAlign w:val="bottom"/>
          </w:tcPr>
          <w:p>
            <w:pPr>
              <w:spacing w:after="0"/>
              <w:rPr>
                <w:sz w:val="18"/>
                <w:szCs w:val="18"/>
                <w:color w:val="auto"/>
              </w:rPr>
            </w:pP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5"/>
              </w:rPr>
              <w:t>Active Markets for</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Significant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Identical Assets</w:t>
            </w:r>
          </w:p>
        </w:tc>
        <w:tc>
          <w:tcPr>
            <w:tcW w:w="120" w:type="dxa"/>
            <w:vAlign w:val="bottom"/>
          </w:tcPr>
          <w:p>
            <w:pPr>
              <w:spacing w:after="0"/>
              <w:rPr>
                <w:sz w:val="18"/>
                <w:szCs w:val="18"/>
                <w:color w:val="auto"/>
              </w:rPr>
            </w:pPr>
          </w:p>
        </w:tc>
        <w:tc>
          <w:tcPr>
            <w:tcW w:w="15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r>
      <w:tr>
        <w:trPr>
          <w:trHeight w:val="237"/>
        </w:trPr>
        <w:tc>
          <w:tcPr>
            <w:tcW w:w="6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2)</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(Level 3)</w:t>
            </w:r>
          </w:p>
        </w:tc>
        <w:tc>
          <w:tcPr>
            <w:tcW w:w="160" w:type="dxa"/>
            <w:vAlign w:val="bottom"/>
            <w:tcBorders>
              <w:bottom w:val="single" w:sz="8" w:color="auto"/>
            </w:tcBorders>
          </w:tcPr>
          <w:p>
            <w:pPr>
              <w:spacing w:after="0"/>
              <w:rPr>
                <w:sz w:val="20"/>
                <w:szCs w:val="20"/>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2,010</w:t>
            </w:r>
          </w:p>
        </w:tc>
        <w:tc>
          <w:tcPr>
            <w:tcW w:w="120" w:type="dxa"/>
            <w:vAlign w:val="bottom"/>
          </w:tcPr>
          <w:p>
            <w:pPr>
              <w:spacing w:after="0"/>
              <w:rPr>
                <w:sz w:val="17"/>
                <w:szCs w:val="17"/>
                <w:color w:val="auto"/>
              </w:rPr>
            </w:pPr>
          </w:p>
        </w:tc>
        <w:tc>
          <w:tcPr>
            <w:tcW w:w="1320" w:type="dxa"/>
            <w:vAlign w:val="bottom"/>
          </w:tcPr>
          <w:p>
            <w:pPr>
              <w:jc w:val="right"/>
              <w:ind w:right="1156"/>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100" w:type="dxa"/>
            <w:vAlign w:val="bottom"/>
          </w:tcPr>
          <w:p>
            <w:pPr>
              <w:jc w:val="right"/>
              <w:ind w:right="935"/>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69,060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15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3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r>
      <w:tr>
        <w:trPr>
          <w:trHeight w:val="21"/>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3"/>
        </w:trPr>
        <w:tc>
          <w:tcPr>
            <w:tcW w:w="13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w w:val="90"/>
              </w:rPr>
              <w:t>Net income (loss):</w:t>
            </w:r>
          </w:p>
        </w:tc>
        <w:tc>
          <w:tcPr>
            <w:tcW w:w="47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w w:val="74"/>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10,080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30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1"/>
        </w:trPr>
        <w:tc>
          <w:tcPr>
            <w:tcW w:w="6080" w:type="dxa"/>
            <w:vAlign w:val="bottom"/>
            <w:gridSpan w:val="6"/>
            <w:vMerge w:val="restart"/>
          </w:tcPr>
          <w:p>
            <w:pPr>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Additional dilutive common stock equivalents</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80"/>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020" w:type="dxa"/>
            <w:vAlign w:val="bottom"/>
            <w:gridSpan w:val="5"/>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Basic net income (loss) per share from continuing operations</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w w:val="74"/>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Basic net income per share from discontinued operations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260"/>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020" w:type="dxa"/>
            <w:vAlign w:val="bottom"/>
            <w:gridSpan w:val="5"/>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60" w:type="dxa"/>
            <w:vAlign w:val="bottom"/>
            <w:gridSpan w:val="4"/>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Diluted net income(loss) per share from continuing operations</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w w:val="74"/>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Diluted net income per share from discontinued operations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5"/>
          </w:tcPr>
          <w:p>
            <w:pPr>
              <w:ind w:left="260"/>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the three months ended September 30, 2013, common stock equivalents of 111,349 were not included in the per share calculation for diluted EPS, because we had a net loss and the effect of their inclusion would be anti-dilutive.</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September 30, 2013 and 2012, options to purchase 825,338 and 25,000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 w:name="page8"/>
    <w:bookmarkEnd w:id="7"/>
    <w:p>
      <w:pPr>
        <w:jc w:val="both"/>
        <w:ind w:left="340"/>
        <w:spacing w:after="0" w:line="264" w:lineRule="auto"/>
        <w:rPr>
          <w:sz w:val="20"/>
          <w:szCs w:val="20"/>
          <w:color w:val="auto"/>
        </w:rPr>
      </w:pPr>
      <w:r>
        <w:rPr>
          <w:rFonts w:ascii="Arial" w:cs="Arial" w:eastAsia="Arial" w:hAnsi="Arial"/>
          <w:sz w:val="18"/>
          <w:szCs w:val="18"/>
          <w:color w:val="auto"/>
        </w:rPr>
        <w:t>For the nine month periods ended September 30, 2013 and 2012, options to purchase 825,338 and 829,504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8"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4"/>
          </w:tcPr>
          <w:p>
            <w:pPr>
              <w:jc w:val="right"/>
              <w:ind w:right="77"/>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57"/>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8"/>
                <w:szCs w:val="18"/>
                <w:color w:val="auto"/>
              </w:rPr>
            </w:pPr>
          </w:p>
        </w:tc>
      </w:tr>
      <w:tr>
        <w:trPr>
          <w:trHeight w:val="241"/>
        </w:trPr>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r>
      <w:tr>
        <w:trPr>
          <w:trHeight w:val="418"/>
        </w:trPr>
        <w:tc>
          <w:tcPr>
            <w:tcW w:w="5760" w:type="dxa"/>
            <w:vAlign w:val="bottom"/>
          </w:tcPr>
          <w:p>
            <w:pPr>
              <w:spacing w:after="0"/>
              <w:rPr>
                <w:sz w:val="20"/>
                <w:szCs w:val="20"/>
                <w:color w:val="auto"/>
              </w:rPr>
            </w:pPr>
            <w:r>
              <w:rPr>
                <w:rFonts w:ascii="Arial" w:cs="Arial" w:eastAsia="Arial" w:hAnsi="Arial"/>
                <w:sz w:val="18"/>
                <w:szCs w:val="18"/>
                <w:color w:val="auto"/>
              </w:rPr>
              <w:t>Cost of services</w:t>
            </w:r>
          </w:p>
        </w:tc>
        <w:tc>
          <w:tcPr>
            <w:tcW w:w="820" w:type="dxa"/>
            <w:vAlign w:val="bottom"/>
            <w:gridSpan w:val="2"/>
          </w:tcPr>
          <w:p>
            <w:pPr>
              <w:jc w:val="right"/>
              <w:ind w:right="6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359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576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7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445</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1"/>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Stock Option Grants</w:t>
      </w:r>
      <w:r>
        <w:rPr>
          <w:rFonts w:ascii="Arial" w:cs="Arial" w:eastAsia="Arial" w:hAnsi="Arial"/>
          <w:sz w:val="17"/>
          <w:szCs w:val="17"/>
          <w:color w:val="auto"/>
        </w:rPr>
        <w:t>. We grant stock options under our 2001 Nonqualified Stock Plan. We estimate the fair value of stock options using the Black-Scholes valuation model.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Estimates of fair value are not intended to predict actual future events or the value ultimately realized by persons who receive equity awards.</w:t>
      </w:r>
    </w:p>
    <w:p>
      <w:pPr>
        <w:spacing w:after="0" w:line="2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stock-based grants during 2013 and 2012:</w:t>
      </w:r>
    </w:p>
    <w:p>
      <w:pPr>
        <w:spacing w:after="0" w:line="25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 Option Grants</w:t>
      </w:r>
      <w:r>
        <w:rPr>
          <w:rFonts w:ascii="Arial" w:cs="Arial" w:eastAsia="Arial" w:hAnsi="Arial"/>
          <w:sz w:val="18"/>
          <w:szCs w:val="18"/>
          <w:color w:val="auto"/>
        </w:rPr>
        <w:t xml:space="preserve"> – We did not grant any stock options in the three and nine month periods ended September 30, 2013. We granted stock options for 0 shares and 50,000 shares in the three and nine month periods ended September 30, 2012, respectively.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Unrestricted Stock Grants</w:t>
      </w:r>
      <w:r>
        <w:rPr>
          <w:rFonts w:ascii="Arial" w:cs="Arial" w:eastAsia="Arial" w:hAnsi="Arial"/>
          <w:sz w:val="18"/>
          <w:szCs w:val="18"/>
          <w:color w:val="auto"/>
        </w:rPr>
        <w:t xml:space="preserve"> – We granted shares of unrestricted stock in July 2010 and April 2013. The following summarizes those grants and their related impact on results of operations for the three and nine months ended September 30, 2013 and 2012:</w:t>
      </w:r>
    </w:p>
    <w:p>
      <w:pPr>
        <w:spacing w:after="0" w:line="197" w:lineRule="exact"/>
        <w:rPr>
          <w:rFonts w:ascii="Arial" w:cs="Arial" w:eastAsia="Arial" w:hAnsi="Arial"/>
          <w:sz w:val="18"/>
          <w:szCs w:val="18"/>
          <w:color w:val="auto"/>
        </w:rPr>
      </w:pPr>
    </w:p>
    <w:p>
      <w:pPr>
        <w:jc w:val="both"/>
        <w:ind w:left="660" w:right="2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July 2010 Unrestricted Stock Grant. </w:t>
      </w:r>
      <w:r>
        <w:rPr>
          <w:rFonts w:ascii="Arial" w:cs="Arial" w:eastAsia="Arial" w:hAnsi="Arial"/>
          <w:sz w:val="16"/>
          <w:szCs w:val="16"/>
          <w:color w:val="auto"/>
        </w:rPr>
        <w:t>In July 2010, we granted 575,443 shares of stock to directors, officers and employees. There was no stock-based compensation expense related to this grant in the three and nine month periods ended September 30, 2013. We expensed $0 and $189,000 of stock-based compensation expense related to this grant in the three and nine month periods ended September 30, 2012, respectively.</w:t>
      </w:r>
    </w:p>
    <w:p>
      <w:pPr>
        <w:spacing w:after="0" w:line="173"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April 2013 Unrestricted Stock Grant. </w:t>
      </w:r>
      <w:r>
        <w:rPr>
          <w:rFonts w:ascii="Arial" w:cs="Arial" w:eastAsia="Arial" w:hAnsi="Arial"/>
          <w:sz w:val="17"/>
          <w:szCs w:val="17"/>
          <w:color w:val="auto"/>
        </w:rPr>
        <w:t>In April 2013, we granted 130,000 shares of unrestricted stock to directors, officers and employees.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are to be issued in two equal installments shortly after June 30, 2013 and December 31, 2013, provided each grantee is serving as a director, officer or employee on those dates. We expensed $208,000 and $415,000 of stock-based compensation expense related to this grant in the three and nine months ended September 30, 2013, respectively. The unamortized stock-based compensation charge associated with this grant as of September 30, 2013 is $208,000, which we anticipate will be charged to expense in the fourth quarter of 2013.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ind w:left="660" w:right="24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Business Segments</w:t>
      </w:r>
      <w:r>
        <w:rPr>
          <w:rFonts w:ascii="Arial" w:cs="Arial" w:eastAsia="Arial" w:hAnsi="Arial"/>
          <w:sz w:val="17"/>
          <w:szCs w:val="17"/>
          <w:color w:val="auto"/>
        </w:rPr>
        <w:t>. We organize ourselves into multiple segments reporting to the chief operating decision makers. The following table provides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reportable segment financial data for the three and nine month periods ended September 30, 2013 and 2012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jc w:val="right"/>
              <w:ind w:right="1060"/>
              <w:spacing w:after="0"/>
              <w:rPr>
                <w:sz w:val="20"/>
                <w:szCs w:val="20"/>
                <w:color w:val="auto"/>
              </w:rPr>
            </w:pPr>
            <w:r>
              <w:rPr>
                <w:rFonts w:ascii="Arial" w:cs="Arial" w:eastAsia="Arial" w:hAnsi="Arial"/>
                <w:sz w:val="18"/>
                <w:szCs w:val="18"/>
                <w:color w:val="auto"/>
              </w:rPr>
              <w:t>Segments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7"/>
              </w:rPr>
              <w:t>Biometrics</w:t>
            </w:r>
          </w:p>
        </w:tc>
        <w:tc>
          <w:tcPr>
            <w:tcW w:w="13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DSL Service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&amp; Imaging</w:t>
            </w:r>
          </w:p>
        </w:tc>
        <w:tc>
          <w:tcPr>
            <w:tcW w:w="2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Assurance</w:t>
            </w:r>
          </w:p>
        </w:tc>
        <w:tc>
          <w:tcPr>
            <w:tcW w:w="22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Corporate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w w:val="90"/>
              </w:rPr>
              <w:t>Three Months Ended September 30, 2013</w:t>
            </w: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Loss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Benefit from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Loss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Three Months Ended September 30, 2012</w:t>
            </w:r>
          </w:p>
        </w:tc>
        <w:tc>
          <w:tcPr>
            <w:tcW w:w="156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200" w:type="dxa"/>
            <w:vAlign w:val="bottom"/>
            <w:tcBorders>
              <w:bottom w:val="single" w:sz="8" w:color="auto"/>
            </w:tcBorders>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Gain on sale of patent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w w:val="90"/>
              </w:rPr>
              <w:t>Nine Months Ended September 30, 2013</w:t>
            </w:r>
          </w:p>
        </w:tc>
        <w:tc>
          <w:tcPr>
            <w:tcW w:w="1660" w:type="dxa"/>
            <w:vAlign w:val="bottom"/>
            <w:gridSpan w:val="2"/>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100" w:type="dxa"/>
            <w:vAlign w:val="bottom"/>
            <w:tcBorders>
              <w:bottom w:val="single" w:sz="8" w:color="auto"/>
            </w:tcBorders>
            <w:vMerge w:val="continue"/>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1,217</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4,848</w:t>
            </w:r>
          </w:p>
        </w:tc>
        <w:tc>
          <w:tcPr>
            <w:tcW w:w="2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(4,266)</w:t>
            </w:r>
          </w:p>
        </w:tc>
        <w:tc>
          <w:tcPr>
            <w:tcW w:w="2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patent arrangement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w w:val="90"/>
              </w:rPr>
              <w:t>Nine Months Ended September 30, 2012</w:t>
            </w:r>
          </w:p>
        </w:tc>
        <w:tc>
          <w:tcPr>
            <w:tcW w:w="1660" w:type="dxa"/>
            <w:vAlign w:val="bottom"/>
            <w:gridSpan w:val="2"/>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100" w:type="dxa"/>
            <w:vAlign w:val="bottom"/>
            <w:tcBorders>
              <w:bottom w:val="single" w:sz="8" w:color="auto"/>
            </w:tcBorders>
            <w:vMerge w:val="continue"/>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1,794</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4,725</w:t>
            </w:r>
          </w:p>
        </w:tc>
        <w:tc>
          <w:tcPr>
            <w:tcW w:w="2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Gain on sale of patent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89,229</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23,248</w:t>
            </w:r>
          </w:p>
        </w:tc>
        <w:tc>
          <w:tcPr>
            <w:tcW w:w="0" w:type="dxa"/>
            <w:vAlign w:val="bottom"/>
          </w:tcPr>
          <w:p>
            <w:pPr>
              <w:spacing w:after="0"/>
              <w:rPr>
                <w:sz w:val="1"/>
                <w:szCs w:val="1"/>
                <w:color w:val="auto"/>
              </w:rPr>
            </w:pP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66,341</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9" w:name="page10"/>
    <w:bookmarkEnd w:id="9"/>
    <w:p>
      <w:pPr>
        <w:ind w:left="34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2,588</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9,944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9,302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Saudi Arabia</w:t>
            </w: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4,578</w:t>
            </w:r>
          </w:p>
        </w:tc>
      </w:tr>
      <w:tr>
        <w:trPr>
          <w:trHeight w:val="216"/>
        </w:trPr>
        <w:tc>
          <w:tcPr>
            <w:tcW w:w="55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14,240</w:t>
            </w:r>
          </w:p>
        </w:tc>
      </w:tr>
      <w:tr>
        <w:trPr>
          <w:trHeight w:val="21"/>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are no recently issued accounting pronouncements applicable to the Company that have not been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30, 2013.</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Gain on Sale of Patent Assets. </w:t>
      </w:r>
      <w:r>
        <w:rPr>
          <w:rFonts w:ascii="Arial" w:cs="Arial" w:eastAsia="Arial" w:hAnsi="Arial"/>
          <w:sz w:val="18"/>
          <w:szCs w:val="18"/>
          <w:color w:val="auto"/>
        </w:rPr>
        <w:t>We recorded a $15.2 million gain on the sale of patent assets in the three months ended September 30, 2012. This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relates to a transaction we completed in September 2012 in which we sold a portion of our patent portfolio pertaining to digital subscriber line (“DSL”) technology for $16.0 million. The proceeds from the sale were reduced by $0.8 million of transaction costs.</w:t>
      </w:r>
    </w:p>
    <w:p>
      <w:pPr>
        <w:spacing w:after="0" w:line="208"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We recorded an $86.4 million gain on the sale of patent assets in the nine months ended September 30, 2012. This gain includes the $15.2 million gain described in the previous paragraph and a $71.2 million gain on the sale of patent assets that occurred in the second quarter of 2012. In June 2012, we completed a transaction to sell patents pertaining to wireless technology for $75 million. The proceeds from that sale were reduced by $3.8 million of transaction costs.</w:t>
      </w:r>
    </w:p>
    <w:p>
      <w:pPr>
        <w:spacing w:after="0" w:line="21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We entered into an arrangement with an unaffiliated third party in 2010 under which we assigned patents in return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 on proceeds from patent monetization efforts by the third party. We recorded $0 and $0.8 million of income from this patent arrangement in the three and nine months ended September 30, 2013, respectively.</w:t>
      </w:r>
    </w:p>
    <w:p>
      <w:pPr>
        <w:spacing w:after="0" w:line="204"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for the three ended September 30, 2013 was a tax benefit of $901,000. Income tax expense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2013 was $169,000. Income tax expense for 2013 was based on the U.S. statutory rate of 34%, increased by state income taxes. Year-to-date tax expense also reflects two items related to 2012, including:</w:t>
      </w:r>
    </w:p>
    <w:p>
      <w:pPr>
        <w:spacing w:after="0" w:line="207" w:lineRule="exact"/>
        <w:rPr>
          <w:rFonts w:ascii="Arial" w:cs="Arial" w:eastAsia="Arial" w:hAnsi="Arial"/>
          <w:sz w:val="18"/>
          <w:szCs w:val="18"/>
          <w:color w:val="auto"/>
        </w:rPr>
      </w:pPr>
    </w:p>
    <w:p>
      <w:pPr>
        <w:ind w:left="660" w:hanging="328"/>
        <w:spacing w:after="0" w:line="25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tax benefit of $95,000 related to the 2012 research tax credit. This credit was extended retroactively back to January 1, 2012, by the American Taxpayer Relief Act of 2012, which was enacted on January 2, 2013;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tax benefit of $148,000 related to a reduction in the estimate of the 2012 tax expense recorded in our 2012 financial statements.</w:t>
      </w:r>
    </w:p>
    <w:p>
      <w:pPr>
        <w:spacing w:after="0" w:line="23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September 30, 2013, we had a total of $1.6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w:t>
      </w:r>
    </w:p>
    <w:p>
      <w:pPr>
        <w:spacing w:after="0" w:line="18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As a result of exit costs related to our DSL service assurance software business, we have revised our estimate of 2013 taxable income. As a result, we do not expect to utilize any of our excess stock compensation benefits to reduce our tax liability in 2013. Accordingly, we have not recorded any tax benefit to additional paid-in capital in 2013. As a separate matter, we reduced the benefit we recorded to additional paid-in capital in 2012 as a result of the reduction of our actual 2012 tax liability. The amount of the reduction to additional paid-in capital in 2013 related to 2012 was $63,000.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 w:name="page11"/>
    <w:bookmarkEnd w:id="10"/>
    <w:p>
      <w:pPr>
        <w:jc w:val="both"/>
        <w:ind w:left="340"/>
        <w:spacing w:after="0" w:line="259" w:lineRule="auto"/>
        <w:rPr>
          <w:sz w:val="20"/>
          <w:szCs w:val="20"/>
          <w:color w:val="auto"/>
        </w:rPr>
      </w:pPr>
      <w:r>
        <w:rPr>
          <w:rFonts w:ascii="Arial" w:cs="Arial" w:eastAsia="Arial" w:hAnsi="Arial"/>
          <w:sz w:val="18"/>
          <w:szCs w:val="18"/>
          <w:color w:val="auto"/>
        </w:rPr>
        <w:t>Income tax expense related to continuing operations was $6.6 million and $23.2 million for the three and nine months ended September 30, 2012, respectively. Income tax expense in 2012 was driven by an $86.4 million gain on sale of patent assets. Income tax expense of $23.2 million for the nine months ended September 30, 2012 consisted of a $7.5 million current income tax liability plus a $15.8 million non-cash adjustment related to cumulative deduction for stock options in excess of book expense that was recorded to equity.</w:t>
      </w:r>
    </w:p>
    <w:p>
      <w:pPr>
        <w:spacing w:after="0" w:line="214" w:lineRule="exact"/>
        <w:rPr>
          <w:sz w:val="20"/>
          <w:szCs w:val="20"/>
          <w:color w:val="auto"/>
        </w:rPr>
      </w:pPr>
    </w:p>
    <w:p>
      <w:pPr>
        <w:jc w:val="both"/>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In January 2012, our Board of Directors approved the shutdown of our DSL service assurance hardware product line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a component of our DSL Service Assurance Segment. We completed the shutdown in 2012 and no longer have any continuing involvement with or cash flows from this product line. The results of our DSL service assurance hardware product line have been included in discontinued operations in the consolidated statements of comprehensive income. Income from discontinued operations attributable to the DSL service assurance hardware product line was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70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00" w:type="dxa"/>
            <w:vAlign w:val="bottom"/>
          </w:tcPr>
          <w:p>
            <w:pPr>
              <w:spacing w:after="0"/>
              <w:rPr>
                <w:sz w:val="19"/>
                <w:szCs w:val="19"/>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418"/>
        </w:trPr>
        <w:tc>
          <w:tcPr>
            <w:tcW w:w="570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9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724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2,809</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364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w:t>
            </w:r>
          </w:p>
        </w:tc>
      </w:tr>
      <w:tr>
        <w:trPr>
          <w:trHeight w:val="202"/>
        </w:trPr>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3"/>
              </w:rPr>
              <w:t>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603</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Income taxes</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143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r>
      <w:tr>
        <w:trPr>
          <w:trHeight w:val="216"/>
        </w:trPr>
        <w:tc>
          <w:tcPr>
            <w:tcW w:w="570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860" w:type="dxa"/>
            <w:vAlign w:val="bottom"/>
            <w:tcBorders>
              <w:bottom w:val="single" w:sz="8" w:color="auto"/>
            </w:tcBorders>
          </w:tcPr>
          <w:p>
            <w:pPr>
              <w:jc w:val="right"/>
              <w:ind w:right="69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r>
      <w:tr>
        <w:trPr>
          <w:trHeight w:val="21"/>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7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DSL Service Assurance Software Exit. </w:t>
      </w:r>
      <w:r>
        <w:rPr>
          <w:rFonts w:ascii="Arial" w:cs="Arial" w:eastAsia="Arial" w:hAnsi="Arial"/>
          <w:sz w:val="17"/>
          <w:szCs w:val="17"/>
          <w:color w:val="auto"/>
        </w:rPr>
        <w:t>In August 2013, our Board of Directors approved the shutdown of our DSL service assurance software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line, which is the remaining component of our DSL Service Assurance Segment. We intend to provide limited support to customers until December 31, 2013 at which point we expect to complete the shutdown. The results of operations for the DSL service assurance software product line have been reported in continuing operations for the three and nine month periods ended September 30, 2013 and 2012. We anticipate the results of operations for this product line will be reported in discontinued operations commencing next quarter.</w:t>
      </w:r>
    </w:p>
    <w:p>
      <w:pPr>
        <w:spacing w:after="0" w:line="199" w:lineRule="exact"/>
        <w:rPr>
          <w:rFonts w:ascii="Arial" w:cs="Arial" w:eastAsia="Arial" w:hAnsi="Arial"/>
          <w:sz w:val="17"/>
          <w:szCs w:val="17"/>
          <w:color w:val="auto"/>
        </w:rPr>
      </w:pPr>
    </w:p>
    <w:p>
      <w:pPr>
        <w:jc w:val="both"/>
        <w:ind w:left="340"/>
        <w:spacing w:after="0" w:line="273" w:lineRule="auto"/>
        <w:rPr>
          <w:rFonts w:ascii="Arial" w:cs="Arial" w:eastAsia="Arial" w:hAnsi="Arial"/>
          <w:sz w:val="17"/>
          <w:szCs w:val="17"/>
          <w:color w:val="auto"/>
        </w:rPr>
      </w:pPr>
      <w:r>
        <w:rPr>
          <w:rFonts w:ascii="Arial" w:cs="Arial" w:eastAsia="Arial" w:hAnsi="Arial"/>
          <w:sz w:val="17"/>
          <w:szCs w:val="17"/>
          <w:color w:val="auto"/>
        </w:rPr>
        <w:t>We estimate our total shutdown costs to date to be approximately $3.0 million. Such costs comprise: i) $3.7 million of payments to customers to terminate contracts, which were offset by $1.2 million of deferred revenue obligations that were relieved as a result of such contract terminations; ii) $397,000 of severance and employee-related costs; and iii) $47,000 of asset write-offs. We recorded $2.8 million of those costs in “Exit costs” in the consolidated statements of comprehensive income for the three months ended September 30, 2013. The remaining $165,000 of costs represents employee severance and retention bonuses for employees who have been retained to support customers through December 31, 2013. We intend to charge those costs to expense in the three months ended December 31, 2013, if earned by employees.</w:t>
      </w:r>
    </w:p>
    <w:p>
      <w:pPr>
        <w:spacing w:after="0" w:line="205"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We may incur additional costs or receive additional income related to the termination of customer contracts, however we are unable to estimate those amounts at this time.</w:t>
      </w:r>
    </w:p>
    <w:p>
      <w:pPr>
        <w:spacing w:after="0" w:line="197"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At September 30, 2013, we recorded a liability for exit costs of $3.8 million. This liability comprises: i) $3.7 million of payments due to customers for contract terminations; and ii) $232,000 of severance and employee related costs earned by employees through September 30, 2013, less $176,000 of payments made to such employees before the end of the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 w:name="page12"/>
    <w:bookmarkEnd w:id="11"/>
    <w:p>
      <w:pPr>
        <w:ind w:left="340" w:right="20"/>
        <w:spacing w:after="0" w:line="308" w:lineRule="auto"/>
        <w:rPr>
          <w:sz w:val="20"/>
          <w:szCs w:val="20"/>
          <w:color w:val="auto"/>
        </w:rPr>
      </w:pPr>
      <w:r>
        <w:rPr>
          <w:rFonts w:ascii="Arial" w:cs="Arial" w:eastAsia="Arial" w:hAnsi="Arial"/>
          <w:sz w:val="17"/>
          <w:szCs w:val="17"/>
          <w:color w:val="auto"/>
        </w:rPr>
        <w:t>The following table is a rollforward of our exit costs liability accounts. Customer contract termination costs were included in “Due to customers” and severance and employee-related costs were included in “Accrued compensation” in the consolidated balance sheets. (in thousands):</w:t>
      </w:r>
    </w:p>
    <w:p>
      <w:pPr>
        <w:sectPr>
          <w:pgSz w:w="11900" w:h="16838" w:orient="portrait"/>
          <w:cols w:equalWidth="0" w:num="1">
            <w:col w:w="11420"/>
          </w:cols>
          <w:pgMar w:left="240" w:top="9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charged to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Payments/write-offs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Customer</w:t>
            </w: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Severance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Contract</w:t>
            </w: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Termination Costs</w:t>
            </w: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Employee-</w:t>
            </w:r>
          </w:p>
        </w:tc>
        <w:tc>
          <w:tcPr>
            <w:tcW w:w="28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Related Costs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3,788</w:t>
            </w: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20" w:space="720"/>
            <w:col w:w="5580"/>
          </w:cols>
          <w:pgMar w:left="240" w:top="922"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2012,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Summary of Operations. </w:t>
      </w:r>
      <w:r>
        <w:rPr>
          <w:rFonts w:ascii="Arial" w:cs="Arial" w:eastAsia="Arial" w:hAnsi="Arial"/>
          <w:sz w:val="18"/>
          <w:szCs w:val="18"/>
          <w:color w:val="auto"/>
        </w:rPr>
        <w:t>Our principal business operations are focused on biometrics and imaging products now that we have begun the process to shut down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Digital Subscriber Line (“DSL”) service assurance product line.</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Biometrics products consist of software and services used in biometric systems.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imaging products consist of software used primarily in medical imaging applications. Our imaging software is primarily sold to OEMs and systems integrators that incorporate our software into their medical and imaging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In addition to our core biometrics and imaging business, we have been involved with other business activities that have affected our</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financial results and may affect our future financial results. These activities are described below.</w:t>
      </w:r>
    </w:p>
    <w:p>
      <w:pPr>
        <w:spacing w:after="0" w:line="197"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November 2009, we were a supplier of DSL silicon intellectual property to the semiconductor industry. We continue to receive royalties from two principal customers that use our DSL silicon IP in their DSL chipsets although those royalties have been declining rapidly in recent quarters.</w:t>
      </w:r>
    </w:p>
    <w:p>
      <w:pPr>
        <w:spacing w:after="0" w:line="20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2012, we executed on a strategy to monetize a significant portion of our patent portfolio that was unrelated to our biometrics and DSL service assurance product lines. That effort resulted in two significant patent sales in 2012, which affected our consolidated statements of comprehensive income for the three and nine months ended September 30, 2012. There was no such income in the three and nine months ended September 30, 2013.</w:t>
      </w:r>
    </w:p>
    <w:p>
      <w:pPr>
        <w:spacing w:after="0" w:line="17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entered into an arrangement with an unaffiliated third party in 2010 under which we assigned certain patents in return for royalties on proceeds from patent monetization efforts by the third party. We recorded $0.0 million and $0.8 million of income from this patent arrangement in the three and nine months ended September 30, 2013, respectively. We did not record any such income in the three and nine months ended September 30, 2012. We are unable to predict how much more income we might receive from this arrangement, if any, because we do not know whether any patent monetization efforts by the third party will be successful.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 w:name="page14"/>
    <w:bookmarkEnd w:id="13"/>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2012, our Board of Directors approved the shutdown of our DSL service assurance hardware product line which was previously a component of our DSL Service Assurance Segment. We completed the shutdown in 2012 and no longer have any continuing involvement with or cash flows from this product line. The results of our DSL service assurance hardware product line have been reported as discontinued operations. Income from discontinued operations attributable to the DSL service assurance hardware product line was (in thousands):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Nine Months Ended</w:t>
            </w:r>
          </w:p>
        </w:tc>
      </w:tr>
      <w:tr>
        <w:trPr>
          <w:trHeight w:val="241"/>
        </w:trPr>
        <w:tc>
          <w:tcPr>
            <w:tcW w:w="5360" w:type="dxa"/>
            <w:vAlign w:val="bottom"/>
          </w:tcPr>
          <w:p>
            <w:pPr>
              <w:spacing w:after="0"/>
              <w:rPr>
                <w:sz w:val="20"/>
                <w:szCs w:val="20"/>
                <w:color w:val="auto"/>
              </w:rPr>
            </w:pPr>
          </w:p>
        </w:tc>
        <w:tc>
          <w:tcPr>
            <w:tcW w:w="19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360" w:type="dxa"/>
            <w:vAlign w:val="bottom"/>
          </w:tcPr>
          <w:p>
            <w:pPr>
              <w:spacing w:after="0"/>
              <w:rPr>
                <w:sz w:val="19"/>
                <w:szCs w:val="19"/>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724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2,809</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364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w:t>
            </w:r>
          </w:p>
        </w:tc>
      </w:tr>
      <w:tr>
        <w:trPr>
          <w:trHeight w:val="202"/>
        </w:trPr>
        <w:tc>
          <w:tcPr>
            <w:tcW w:w="5360" w:type="dxa"/>
            <w:vAlign w:val="bottom"/>
          </w:tcPr>
          <w:p>
            <w:pPr>
              <w:ind w:left="160"/>
              <w:spacing w:after="0" w:line="201" w:lineRule="exact"/>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7"/>
                <w:szCs w:val="17"/>
                <w:color w:val="auto"/>
              </w:rPr>
            </w:pP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6"/>
              </w:rPr>
              <w:t>360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603</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Income taxes</w:t>
            </w: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143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820" w:type="dxa"/>
            <w:vAlign w:val="bottom"/>
            <w:tcBorders>
              <w:bottom w:val="single" w:sz="8" w:color="auto"/>
            </w:tcBorders>
          </w:tcPr>
          <w:p>
            <w:pPr>
              <w:jc w:val="right"/>
              <w:ind w:right="65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217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r>
      <w:tr>
        <w:trPr>
          <w:trHeight w:val="21"/>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2013, our Board of Directors approved the shutdown of our DSL service assurance software product line, which is the remaining component of our DSL Service Assurance Segment. We intend to provide limited support to customers until December 31, 2013 at which point we expect to complete the shutdown. The results of operations for the DSL service assurance software product line have been reported in continuing operations for the three and nine month periods ended September 30, 2013 and 2012. We anticipate the results of operations for this product line will be reported in discontinued operations commencing next quarter.</w:t>
      </w:r>
    </w:p>
    <w:p>
      <w:pPr>
        <w:spacing w:after="0" w:line="215"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We estimate our total shutdown costs to date to be approximately $3.0 million. Such costs comprise: i) $3.7 million of payments to customers to terminate contracts, which were offset by $1.2 million of deferred revenue obligations that were relieved as a result of such contract terminations; ii) $397,000 of severance and employee-related costs; and iii) $47,000 of asset write-offs. We recorded $2.8 million of those costs in “Exit costs” in the consolidated statements of comprehensive income for the three months ended September 30, 2013. The remaining $165,000 of costs represents employee severance and retention bonuses for employees who have been retained to support customers through December 31, 2013. We intend to charge those costs to expense in the three months ended December 31, 2013, if earned by employees.</w:t>
      </w:r>
    </w:p>
    <w:p>
      <w:pPr>
        <w:spacing w:after="0" w:line="19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may incur additional costs or receive additional income related to the termination of customer contracts, however we are unable to estimate those amounts at this time.</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September 30, 2013, we recorded a liability for exit costs of $3.8 million. This liability comprises: i) $3.7 million of payments due to customers for contract terminations; and ii) $232,000 of severance and employee related costs earned by employees through September 30, 2013, less $176,000 of payments made to such employees before the end of the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loss from continuing operations for the three months ended September 30, 2013 was $1.2 million or $0.05 per diluted share, which compares to net income from continuing operations of $10.1 million, or $0.45 per diluted share, for the three months ended September 30, 2012. Net income from continuing operations in the three months ended September 30, 2012 included an after tax gain on the sale of patent assets of $8.6 million.</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loss before patent related income was $2.2 million for the three months ended September 30, 2013 compared to income of $1.4 million for the three months ended September 30, 2012. Lower operating income before patent related income in the three month period ended September 30, 2013 compared to the corresponding period in 2012 was primarily due to costs associated with our decision to exit the DSL service assurance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Net income from continuing operations for the nine months ended September 30, 2013 was $1.0 million, or $0.04 per diluted share, which compares to net income from continuing operations of $66.0 million, or $3.01 per diluted share, for the nine months ended September 30, 2012. Net income from continuing operations in the nine months ended September 30, 2012 included an after tax gain on the sale of patent assets of $63.1 million.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before patent related income was $134,000 and $2.6 million for the nine months ended September 30, 2013 and 2012, respectively. Lower operating income before patent related income in the nine month period ended September 30, 2013 compared to the corresponding period in 2012 was primarily due to costs associated with our decision to exit the DSL service assurance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Software Licenses. </w:t>
      </w:r>
      <w:r>
        <w:rPr>
          <w:rFonts w:ascii="Arial" w:cs="Arial" w:eastAsia="Arial" w:hAnsi="Arial"/>
          <w:sz w:val="18"/>
          <w:szCs w:val="18"/>
          <w:color w:val="auto"/>
        </w:rPr>
        <w:t>Software licenses consist of revenue from the sale of software licenses for biometrics and imaging, and DSL service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license revenue decreased 31% from $3.4 million in the three months ended September 30, 2012 to $2.3 million in the same three month period in 2013. As a percentage of total revenue, software license revenue decreased from 64% in the third quarter of 2012 to 52% in the current year quarter. The dollar decrease in software license revenue was primarily due to a $0.8 million decrease in revenue from the sale of biometrics and imaging software and a $0.3 million decrease in revenue from the sale of DSL service assurance software.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biometrics and imaging license sales was primarily due to a large direct sale to a U.S. government in the year ago quarter. A sale of that magnitude did not occur in the current quarter. The decrease in revenue from the sale of DSL service assurance software was primarily due to our decision to shut down this business this quarter.</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Software license revenue decreased 5% from $8.1 million in the nine months ended September 30, 2012 to $7.7 million in the same nine month period in 2013. As a percentage of total revenue, software license revenue decreased from 57% in the first nine months of 2012 to 52% in the corresponding period in</w:t>
      </w:r>
    </w:p>
    <w:p>
      <w:pPr>
        <w:jc w:val="both"/>
        <w:spacing w:after="0" w:line="261" w:lineRule="auto"/>
        <w:rPr>
          <w:sz w:val="20"/>
          <w:szCs w:val="20"/>
          <w:color w:val="auto"/>
        </w:rPr>
      </w:pPr>
      <w:r>
        <w:rPr>
          <w:rFonts w:ascii="Arial" w:cs="Arial" w:eastAsia="Arial" w:hAnsi="Arial"/>
          <w:sz w:val="18"/>
          <w:szCs w:val="18"/>
          <w:color w:val="auto"/>
        </w:rPr>
        <w:t>2013. The dollar decrease in software license revenue was primarily due to a $0.4 million decrease in revenue from the sale of DSL service assurance software. Revenue from the sale of biometrics and imaging software was essentially unchanged.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 periods, the decrease in DSL service assurance software license revenue was primarily due to lower license revenue from a telecom supplier that uses our core Dr. DSL® technology in its products as well as our decision to shut down this business.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Software maintenance</w:t>
      </w:r>
      <w:r>
        <w:rPr>
          <w:rFonts w:ascii="Arial" w:cs="Arial" w:eastAsia="Arial" w:hAnsi="Arial"/>
          <w:sz w:val="18"/>
          <w:szCs w:val="18"/>
          <w:color w:val="auto"/>
        </w:rPr>
        <w:t>. Software maintenance consists of revenue from the sale of software maintenance contracts for biometrics and imaging, and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software. Software maintenance contracts entitle customers to receive software support and software updates if and when they become available.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Software maintenance revenue increased 55% from $0.7 million in the three months ended September 30, 2012 to $1.0 million in the same three month period in 2013. As a percentage of total revenue, software maintenance revenue increased from 13% in the third quarter of 2012 to 23% in the current year quarter. The dollar increase in software maintenance revenue was primarily due to an increase in revenue from biometrics and imaging maintenance contracts. Revenue from DSL service assurance maintenance contracts was essentially unchanged from the third quarter of 2012.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maintenance revenue increased 29% from $2.5 million in the nine months ended September 30, 2012 to $3.2 million in the same nine month period in 2013. As a percentage of total revenue, software maintenance revenue increased from 17% in the first nine months of 2012 to 21% in the corresponding period in 2013. The dollar increase in software maintenance revenue was primarily due to an increase in revenue from biometrics and imaging maintenance contracts. Revenue from DSL service assurance maintenance contracts was essentially unchanged.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jc w:val="both"/>
        <w:spacing w:after="0" w:line="342" w:lineRule="auto"/>
        <w:rPr>
          <w:sz w:val="20"/>
          <w:szCs w:val="20"/>
          <w:color w:val="auto"/>
        </w:rPr>
      </w:pPr>
      <w:r>
        <w:rPr>
          <w:rFonts w:ascii="Arial" w:cs="Arial" w:eastAsia="Arial" w:hAnsi="Arial"/>
          <w:sz w:val="16"/>
          <w:szCs w:val="16"/>
          <w:color w:val="auto"/>
        </w:rPr>
        <w:t>For the three and nine month periods, the increase in revenue from biometrics and imaging maintenance contracts was primarily due to: 1) higher software license sales over the past year which generally include the purchase of software maintenance; and 2) renewals of maintenance contracts sold in prior years.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primarily consist of engineering service fees related to: i) our biometrics and imaging product line; and ii) our DSL service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product line. Service revenue in 2012 also included revenue from a legacy DSL silicon customer.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increased 30% from $724,000 in the three months ended September 30, 2012 to $943,000 in the same three month period in 2013. As a percentage of total revenue, services increased from 14% in the third quarter of 2012 to 21% in the current year quarter. The dollar increase in services revenue was primarily due to a $272,000 increase in revenue from the sale of biometrics engineering services, which was partially offset by a $53,000 decrease in revenue from the sale of DSL service assurance services.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 periods, the increase in revenue from biometrics engineering services was primarily due to revenue from three projects with U.S. government customers. The decrease in revenue from DSL service assurance services was primarily due to the cessation of services to a legacy DSL silicon customer at the end of 2012.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increased 4% from $2.1 million in the nine months ended September 30, 2012 to $2.2 million in the same nine month period in 2013. As a percentage of total revenue, services were unchanged at 15% in the nine month periods ended September 30, 2012 and 2013. The dollar increase in services revenue was primarily due to a $0.3 million increase in revenue from the sale of biometrics engineering services, which was partially offset by a $0.2 million decrease in revenue from the sale DSL service assurance services.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 periods, the increase in revenue from biometrics engineering services was primarily due to two projects with foreign governments in which we partnered with local system integrators. The decrease in revenue from DSL service assurance services was primarily due to the cessation of services to a legacy DSL silicon customer at the end of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are attempting to grow our biometrics services business, we are unable to predict whether services revenue will trend upward or downward in future periods as we continue to develop this business.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Hardware sales. </w:t>
      </w:r>
      <w:r>
        <w:rPr>
          <w:rFonts w:ascii="Arial" w:cs="Arial" w:eastAsia="Arial" w:hAnsi="Arial"/>
          <w:sz w:val="16"/>
          <w:szCs w:val="16"/>
          <w:color w:val="auto"/>
        </w:rPr>
        <w:t>Hardware sales consist of sales of biometrics equipment to a single U.S. government customer. Over the past five years, we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biometrics software under a Small Business Innovation Research (“SBIR”) contract. When the software development phase ended in February 2013, we entered into a separate contract to supply hardware products incorporating the developed software. Hardware products sold to this customer integrate hardware purchased from third parties with embedded software from other third parties as well as Aware. We evaluated the classification of gross versus net revenue recognition and determined gross recognition was appropriate. We commenced shipments of equipment under this contract in May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hardware sales in the three months ended September 30, 2012 and 2013.</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sales increased from $0 in the nine months ended September 30, 2012 to $1.1 million in the same nine month period in 2013. As a percentage of total revenue, hardware sales increased from 0% in the first nine months of 2012 to 8% in the corresponding period in 2013. The dollar increase in hardware sales was due to the commencement of shipments in the second quarter of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unable to predict future hardware sales with any degree of certainty because: i) our contract with the government provides pricing, but does not obligate the government to purchase any products until it provides us with purchase orders; and ii) we have no historical experience with which to make revenue projections. Notwithstanding the foregoing, we received an order in September 2013 for $4.7 million of hardware products. We intend to ship this order over the next several quarters, subject to product availability at our suppliers.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decreased 65% from $484,000 in the three months ended September 30, 2012 to $170,000 in the same three month period in 2013. As a percentage of total revenue, royalties decreased from 9% in the third quarter of 2012 to 4%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54% from $1.6 million in the nine months ended September, 30, 2012 to $737,000 in the same nine month period in 2013. As a percentage of total revenue, royalties decreased from 11% in the first nine months of 2012 to 5% in the corresponding period in 2013.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 periods, the dollar decrease in royalties was primarily due to lower DSL royalties from both of our principal licensees. Late last year, one of our licensees achieved chipset sales that exceeded certain sales thresholds in our contractual arrangement. The achievement of those sales thresholds triggered reductions in the royalty rate it is required to pay on certain products and eliminated them altogether on other products. Our other licensee also reported lower royalties to us in both the three and nine month periods of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believe it is likely that royalties will continue to decline in future quarters.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Cost of Hardware Sales. </w:t>
      </w:r>
      <w:r>
        <w:rPr>
          <w:rFonts w:ascii="Arial" w:cs="Arial" w:eastAsia="Arial" w:hAnsi="Arial"/>
          <w:sz w:val="17"/>
          <w:szCs w:val="17"/>
          <w:color w:val="auto"/>
        </w:rPr>
        <w:t>Cost of hardware sales consists primarily of the cost of third party equipment and software included in hardware shipments.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Cost of hardware sales was $0 in the three months ended September 30, 2012 and 2013 as there were no hardware sales during these periods.</w:t>
      </w: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hardware sales increased from $0 in the nine months ended September 30, 2012 to $813,000 in the same nine month period in 2013. Cost of hardware sales as a percentage of hardware sales were 72% in the nine months ended September 30, 2013, which means that gross margins on hardware sales were 28%. The dollar increase in cost of hardware sales was due to the commencement of hardware shipments in the second quarter of 2013.</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complete customer engineering projects. Such costs primarily include: i)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17% from $421,000 in the three months ended September 30, 2012 to $494,000 in the same three month period in 2013. Cost of services as a percentage of services decreased from 58% in the third quarter of 2012 to 52% in the current quarter, which resulted in a corresponding increase in gross margins on services from 42% to 48%.</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6% from slightly more than $1.1 million in the nine months ended September 30, 2012 to slightly less than $1.1 million in the same nine month period in 2013. Cost of services as a percentage of services decreased from 54% in the first nine months of 2012 to 49% in the same period in 2013, which resulted in a corresponding increase in gross margins on services from 46% to 51%.</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nine month periods, higher gross margins on services were due to a more profitable mix of biometrics services arrangements with government and commercial customers.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4,431</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1,138</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5,569</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 periods, total engineering costs were slightly higher than the corresponding periods in the prior year. The increase reflects two sets of offsetting factors. Total engineering costs increased due to higher spending in our biometrics engineering organization as we attempt to grow our biometrics business. Higher biometrics engineering spending was partially offset by lower spending in our DSL service assurance engineering organization and lower spending for a former engineering employee who was involved with patent development and prosecution in 2012.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1% from $1.466 million in the three months ended September 30, 2012 to $1.452 million in the same three month period in 2013. As a percentage of total revenue, research and development expense increased from 28% in the third quarter of 2012 to 32% in the corresponding period of 2013. The insignificant dollar decrease in research and development expense was due to shifting more engineering resources to work on projects that generated services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2% from $4.4 million in the nine months ended September 30, 2012 to $4.5 million in the same nine month period in 2013. As a percentage of total revenue, research and development expense decreased from 31% in the first nine months of 2012 to 30% in the corresponding period of 2013. The dollar increase in research and development expense was due to shifting less engineering resources to work on projects that generated services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activities are focused primarily on developing biometrics and imaging software.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Selling and marketing expense decreased 13% from $1.1 million in the three months ended September 30, 2012 to $0.9 million in the same three month period in 2013. As a percentage of total revenue, sales and marketing expense increased from 20% in the third quarter of 2012 to 21% in the corresponding period of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 decreased 5% from $3.1 million in the nine months ended September 30, 2012 to $3.0 million in the same nine month period in 2013. As a percentage of total revenue, sales and marketing expense decreased from 22% in the first nine months of 2012 to 20% in the corresponding period.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 periods, the dollar decrease in selling and marketing expense reflects two sets of offsetting factors. Expenses decreased due to:</w:t>
      </w:r>
    </w:p>
    <w:p>
      <w:pPr>
        <w:spacing w:after="0" w:line="46" w:lineRule="exact"/>
        <w:rPr>
          <w:sz w:val="20"/>
          <w:szCs w:val="20"/>
          <w:color w:val="auto"/>
        </w:rPr>
      </w:pPr>
    </w:p>
    <w:p>
      <w:pPr>
        <w:jc w:val="both"/>
        <w:ind w:firstLine="8"/>
        <w:spacing w:after="0" w:line="254"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expenses for a former employee who was involved with the effort to monetize patents in 2012; and ii) lower sales expenses in our DSL service assurance sales organization. The expense decrease associated with these two factors was partially offset by expense growth in our biometrics sales organization. Expense growth in the biometrics sales organization was driven by new sales employees, new foreign sales agents, and higher sales commissions and travel expenses.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increased 8% from $854,000 in the three months ended September 30, 2012 to $922,000 in the same three month period in 2013. As a percentage of total revenue, general and administrative expense increased from 16% in the third quarter of 2012 to 20% in the current year quarter. The dollar increase in general and administrative expense was primarily due to higher stock-based compensation costs associated with a stock grant to directors and officers in April 2013, which was partially offset by lower patent prosecution legal fees and audit fees.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 and administrative expense decreased 11% from $2.9 million in the nine months ended September 30, 2012 to $2.6 million in the same nine month period in 2013. As a percentage of total revenue, general and administrative expense decreased from 21% in the first nine months of 2012 to 17% in the corresponding period of 2013. The dollar decrease in general and administrative expense was lower primarily due to two sets of offsetting factors. Expenses decreased due to lower: i) patent prosecution legal fees; ii) audit fees; and iii) general corporate legal fees. Such expense reductions were partially offset by stock-based compensation costs associated with a stock grant to directors and officers in April 2013.</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Exit Costs. </w:t>
      </w:r>
      <w:r>
        <w:rPr>
          <w:rFonts w:ascii="Arial" w:cs="Arial" w:eastAsia="Arial" w:hAnsi="Arial"/>
          <w:sz w:val="16"/>
          <w:szCs w:val="16"/>
          <w:color w:val="auto"/>
        </w:rPr>
        <w:t>Exit costs consist of costs related to the shutdown of our DSL service assurance software business. In August 2013,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the shutdown of our DSL service assurance software product line, which is the remaining component of our DSL Service Assurance Segment. We intend to provide limited support to customers until December 31, 2013 at which point we expect to complete the shutdown. The results of operations for the DSL service assurance software product line have been reported in continuing operations for the three and nine month periods ended September 30, 2013 and 2012. We anticipate the results of operations for this product line will be reported in discontinued operations commencing next quarter.</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our total shutdown costs to date to be approximately $3.0 million. Such costs comprise: i) $3.7 million of payments to customers to terminate contracts, which were offset by $1.2 million of deferred revenue obligations that were relieved as a result of such contract terminations; ii) $397,000 of severance and employee-related costs; and iii) $47,000 of asset write-offs. We recorded $2.8 million of those costs in “Exit costs” in the consolidated statements of comprehensive income for the three months ended September 30, 2013. The remaining $165,000 of costs represents employee severance and retention bonuses for employees who have been retained to support customers through December 31, 2013. We intend to charge those costs to expense in the three months ended December 31, 2013, if earned by employees.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incur additional costs or receive additional income related to the termination of customer contracts, however we are unable to estimate those amounts at this time.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2013, we recorded a liability for exit costs of $3.8 million. This liability comprises: i) $3.7 million of payments due to customers for contract terminations; and ii) $232,000 of severance and employee related costs earned by employees through September 30, 2013, less $176,000 of payments made to such employees before the end of the quarter.</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is a rollforward of our exit costs liability accounts. Customer contract termination costs were included in “Due to customers” and severance and employee-related costs were included in “Accrued compensation” in the consolidated balance sheets.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charged to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Payments/write-offs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Customer</w:t>
            </w: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Contract</w:t>
            </w: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Termination Costs</w:t>
            </w: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Employee-</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Related Costs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3,788</w:t>
            </w: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20" w:space="720"/>
            <w:col w:w="5580"/>
          </w:cols>
          <w:pgMar w:left="240" w:top="918" w:right="239" w:bottom="1440" w:gutter="0" w:footer="0" w:header="0"/>
        </w:sectPr>
      </w:pP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We entered into an arrangement with an unaffiliated third party in 2010 under which we assigned certain patents in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royalties on proceeds from patent monetization efforts by the third party. We recorded $0 and $0.8 million of income from this patent arrangement in the three and nine months ended September 30, 2013, respectively. We did not record any such income in the three and nine months ended September 30, 2012. We are unable to predict how much more income we might receive from this arrangement, if any, because we do not know whether any patent monetization efforts by the third party will be successful.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consists of realized gains on the disposition of high yield bond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from $0 in the three months ended September 30, 2012 to $27,000 in the same three month period of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decreased from $85,000 in the nine month period ended September 30, 2012 to $27,000 in the same nine month period of 2013.</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 periods, increases or decrease in other income are due to the timing of high yield bond sales by us or bond calls by issuers.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76% from $45,000 in three months ended September 30, 2012 to $79,000 in the same three month period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75% from $137,000 in nine months ended September 30, 2012 to $240,000 in the same nine month period in 2013</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the dollar increase in interest income was primarily due to: i) interest income from high yield bonds; and ii) higher cash balances as a result of the patent sales in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for the three ended September 30, 2013 was a tax benefit of $901,000. Income tax expense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2013 was $169,000. Income tax expense for 2013 was based on the U.S. statutory rate of 34%, increased by state income taxes. Year-to-date tax expense also reflects two items related to 2012, including:</w:t>
      </w:r>
    </w:p>
    <w:p>
      <w:pPr>
        <w:spacing w:after="0" w:line="208"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 benefit of $95,000 related to the 2012 research tax credit. This credit was extended retroactively back to January 1, 2012, by the American Taxpayer Relief Act of 2012, which was enacted on January 2, 2013;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 benefit of $148,000 related to a reduction in the estimate of the 2012 tax expense recorded in our 2012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2013, we had a total of $1.6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exit costs related to our DSL service assurance software business, we have revised our estimate of 2013 taxable income. As a result, we do not expect to utilize any of our excess stock compensation benefits to reduce our tax liability in 2013. Accordingly, we have not recorded any tax benefit to additional paid-in capital in 2013. As a separate matter, we reduced the benefit we recorded to additional paid-in capital in 2012 as a result of the reduction of our actual 2012 tax liability. The amount of the reduction to additional paid-in capital in 2013 related to 2012 was $63,000.</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related to continuing operations was $6.6 million and $23.2 million for the three and nine months ended September 30, 2012, respectively. Income tax expense in 2012 was driven by an $86.4 million gain on sale of patent assets. Income tax expense of $23.2 million for the nine months ended September 30, 2012 consisted of a $7.5 million current income tax liability plus a $15.8 million non-cash adjustment related to cumulative deduction for stock options in excess of book expense that was recorded to equity.</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from discontinued operations. </w:t>
      </w:r>
      <w:r>
        <w:rPr>
          <w:rFonts w:ascii="Arial" w:cs="Arial" w:eastAsia="Arial" w:hAnsi="Arial"/>
          <w:sz w:val="18"/>
          <w:szCs w:val="18"/>
          <w:color w:val="auto"/>
        </w:rPr>
        <w:t>Income from discontinued operations reflects operating results from our DSL service assurance hardware product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shutdown during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2013, we had cash and cash equivalents of $75.4 million, which represented an increase of $4.3 million from December 31, 2012. The increase in cash was primarily due to $5.7 million of cash provided by operations. Cash from operations was partially offset by $1.2 million used in investing activities and $88,000 used in financing activities.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consisted of: i) $944,000 of net purchases of high yield bond investments; ii) $93,000 of net property and equipment purchases; and iii) $201,000 of purchases of intangible assets.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financing activities consisted of: i) $71,000 of cash used to pay income taxes for employees who surrendered shares in connection with stock grants, and ii) $63,000 of excess tax benefits from stock-based compensation. Cash used by these activities was partially offset by $46,000 of proceeds from the exercise of stock options.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F to our Consolidated Financial Statements in Item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September 30, 2013 consisted of two elements:</w:t>
      </w:r>
    </w:p>
    <w:p>
      <w:pPr>
        <w:spacing w:after="0" w:line="197" w:lineRule="exact"/>
        <w:rPr>
          <w:sz w:val="20"/>
          <w:szCs w:val="20"/>
          <w:color w:val="auto"/>
        </w:rPr>
      </w:pPr>
    </w:p>
    <w:p>
      <w:pPr>
        <w:jc w:val="both"/>
        <w:ind w:left="340" w:right="20" w:hanging="332"/>
        <w:spacing w:after="0" w:line="264"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2013, our cash and cash equivalents of $75.4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2013, our investments of $3.0 million were invested in high yield bonds with five corporate debt issuers, which mature</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through 2018. While we are exposed to default risk, the high current yield of these bonds largely mitigates interest rate risk. Therefore, due to the high current yield and the two to five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risks described in Item 1A, Risk Factors, in our Annual Report on Form 10-K for the year ended December 31, 2012,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 except as set forth below.</w:t>
      </w:r>
    </w:p>
    <w:p>
      <w:pPr>
        <w:spacing w:after="0" w:line="198" w:lineRule="exact"/>
        <w:rPr>
          <w:sz w:val="20"/>
          <w:szCs w:val="20"/>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commenced sales of biometrics hardware products to a single U.S. government customer in May 2013. Hardware products sold to this customer integrate hardware and software purchased from third parties. We rely on single source suppliers for certain critical hardware and software components. Our dependence on single source suppliers involves several risks, including limited control over availability, quality, and delivery schedules. Any delays in delivery of such components or shortages of such components could cause delays in the shipment of our products, which could significantly harm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76"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The following financial statements from Aware, Inc.’s Quarterly Report on Form 10-Q for the quarter ended September 30, 2013, formatted in XBRL (eXtensible Business Reporting Language), as follows: (i) Consolidated Balance Sheets as of September 30, 2013 and December 31, 2012, (ii) Consolidated Statements of Comprehensive Income for the Three and Nine Months Ended September 30, 2013 and September 30, 2012, (iii) Consolidated Statements of Cash Flows for the Nine Months Ended September 30, 2013 and September 30, 2012, and (iv) Notes to Consolidated Financial Statements.</w:t>
      </w:r>
    </w:p>
    <w:p>
      <w:pPr>
        <w:spacing w:after="0" w:line="200" w:lineRule="exact"/>
        <w:rPr>
          <w:sz w:val="20"/>
          <w:szCs w:val="20"/>
          <w:color w:val="auto"/>
        </w:rPr>
      </w:pPr>
    </w:p>
    <w:p>
      <w:pPr>
        <w:ind w:firstLine="8"/>
        <w:spacing w:after="0" w:line="291" w:lineRule="auto"/>
        <w:tabs>
          <w:tab w:leader="none" w:pos="1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rPr>
          <w:rFonts w:ascii="Arial" w:cs="Arial" w:eastAsia="Arial" w:hAnsi="Arial"/>
          <w:sz w:val="16"/>
          <w:szCs w:val="16"/>
          <w:color w:val="auto"/>
        </w:rPr>
      </w:pPr>
      <w:r>
        <w:rPr>
          <w:rFonts w:ascii="Arial" w:cs="Arial" w:eastAsia="Arial" w:hAnsi="Arial"/>
          <w:sz w:val="18"/>
          <w:szCs w:val="18"/>
          <w:color w:val="auto"/>
        </w:rPr>
        <w:t>____________________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232" w:lineRule="exact"/>
        <w:rPr>
          <w:sz w:val="20"/>
          <w:szCs w:val="20"/>
          <w:color w:val="auto"/>
        </w:rPr>
      </w:pPr>
    </w:p>
    <w:p>
      <w:pPr>
        <w:ind w:left="920"/>
        <w:spacing w:after="0"/>
        <w:tabs>
          <w:tab w:leader="none" w:pos="662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675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40" w:lineRule="exact"/>
        <w:rPr>
          <w:sz w:val="20"/>
          <w:szCs w:val="20"/>
          <w:color w:val="auto"/>
        </w:rPr>
      </w:pPr>
    </w:p>
    <w:p>
      <w:pPr>
        <w:ind w:left="920"/>
        <w:spacing w:after="0"/>
        <w:tabs>
          <w:tab w:leader="none" w:pos="662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675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and Accounting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9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23495</wp:posOffset>
            </wp:positionV>
            <wp:extent cx="2615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co-Chief Executive Officer &amp; co-President</w:t>
      </w:r>
    </w:p>
    <w:p>
      <w:pPr>
        <w:sectPr>
          <w:pgSz w:w="11900" w:h="16838" w:orient="portrait"/>
          <w:cols w:equalWidth="0" w:num="1">
            <w:col w:w="11420"/>
          </w:cols>
          <w:pgMar w:left="240" w:top="26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23495</wp:posOffset>
            </wp:positionV>
            <wp:extent cx="2615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6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2013,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840" w:hanging="29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40" w:hanging="292"/>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/s/  Kevin T. Russell</w:t>
            </w:r>
          </w:p>
        </w:tc>
        <w:tc>
          <w:tcPr>
            <w:tcW w:w="190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/s/  Richard P. Moberg</w:t>
            </w:r>
          </w:p>
        </w:tc>
        <w:tc>
          <w:tcPr>
            <w:tcW w:w="0" w:type="dxa"/>
            <w:vAlign w:val="bottom"/>
          </w:tcPr>
          <w:p>
            <w:pPr>
              <w:spacing w:after="0"/>
              <w:rPr>
                <w:sz w:val="1"/>
                <w:szCs w:val="1"/>
                <w:color w:val="auto"/>
              </w:rPr>
            </w:pPr>
          </w:p>
        </w:tc>
      </w:tr>
      <w:tr>
        <w:trPr>
          <w:trHeight w:val="34"/>
        </w:trPr>
        <w:tc>
          <w:tcPr>
            <w:tcW w:w="394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w w:val="89"/>
              </w:rPr>
              <w:t>&amp; co-President</w:t>
            </w: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co-Chief Executive Officer</w:t>
            </w:r>
          </w:p>
        </w:tc>
        <w:tc>
          <w:tcPr>
            <w:tcW w:w="1980" w:type="dxa"/>
            <w:vAlign w:val="bottom"/>
          </w:tcPr>
          <w:p>
            <w:pPr>
              <w:ind w:left="40"/>
              <w:spacing w:after="0" w:line="201" w:lineRule="exact"/>
              <w:rPr>
                <w:sz w:val="20"/>
                <w:szCs w:val="20"/>
                <w:color w:val="auto"/>
              </w:rPr>
            </w:pPr>
            <w:r>
              <w:rPr>
                <w:rFonts w:ascii="Arial" w:cs="Arial" w:eastAsia="Arial" w:hAnsi="Arial"/>
                <w:sz w:val="18"/>
                <w:szCs w:val="18"/>
                <w:color w:val="auto"/>
              </w:rPr>
              <w:t>&amp; co-President</w:t>
            </w:r>
          </w:p>
        </w:tc>
        <w:tc>
          <w:tcPr>
            <w:tcW w:w="1900" w:type="dxa"/>
            <w:vAlign w:val="bottom"/>
          </w:tcPr>
          <w:p>
            <w:pPr>
              <w:spacing w:after="0"/>
              <w:rPr>
                <w:sz w:val="17"/>
                <w:szCs w:val="17"/>
                <w:color w:val="auto"/>
              </w:rPr>
            </w:pPr>
          </w:p>
        </w:tc>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co-Chief Executive Officer</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980" w:type="dxa"/>
            <w:vAlign w:val="bottom"/>
            <w:gridSpan w:val="3"/>
          </w:tcPr>
          <w:p>
            <w:pPr>
              <w:ind w:left="19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59"/>
        </w:trPr>
        <w:tc>
          <w:tcPr>
            <w:tcW w:w="3940" w:type="dxa"/>
            <w:vAlign w:val="bottom"/>
            <w:gridSpan w:val="2"/>
          </w:tcPr>
          <w:p>
            <w:pPr>
              <w:spacing w:after="0"/>
              <w:rPr>
                <w:sz w:val="20"/>
                <w:szCs w:val="20"/>
                <w:color w:val="auto"/>
              </w:rPr>
            </w:pPr>
            <w:r>
              <w:rPr>
                <w:rFonts w:ascii="Arial" w:cs="Arial" w:eastAsia="Arial" w:hAnsi="Arial"/>
                <w:sz w:val="18"/>
                <w:szCs w:val="18"/>
                <w:color w:val="auto"/>
              </w:rPr>
              <w:t>Date: October 29 , 2013</w:t>
            </w:r>
          </w:p>
        </w:tc>
        <w:tc>
          <w:tcPr>
            <w:tcW w:w="4980" w:type="dxa"/>
            <w:vAlign w:val="bottom"/>
            <w:gridSpan w:val="3"/>
          </w:tcPr>
          <w:p>
            <w:pPr>
              <w:ind w:left="860"/>
              <w:spacing w:after="0"/>
              <w:rPr>
                <w:sz w:val="20"/>
                <w:szCs w:val="20"/>
                <w:color w:val="auto"/>
              </w:rPr>
            </w:pPr>
            <w:r>
              <w:rPr>
                <w:rFonts w:ascii="Arial" w:cs="Arial" w:eastAsia="Arial" w:hAnsi="Arial"/>
                <w:sz w:val="18"/>
                <w:szCs w:val="18"/>
                <w:color w:val="auto"/>
              </w:rPr>
              <w:t>Date: October 29, 2013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1"/>
    </w:lvl>
  </w:abstractNum>
  <w:abstractNum w:abstractNumId="1">
    <w:nsid w:val="216231B"/>
    <w:multiLevelType w:val="hybridMultilevel"/>
    <w:lvl w:ilvl="0">
      <w:lvlJc w:val="left"/>
      <w:lvlText w:val="%1)"/>
      <w:numFmt w:val="upperLetter"/>
      <w:start w:val="3"/>
    </w:lvl>
  </w:abstractNum>
  <w:abstractNum w:abstractNumId="2">
    <w:nsid w:val="1F16E9E8"/>
    <w:multiLevelType w:val="hybridMultilevel"/>
    <w:lvl w:ilvl="0">
      <w:lvlJc w:val="left"/>
      <w:lvlText w:val="%1)"/>
      <w:numFmt w:val="upperLetter"/>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upperLetter"/>
      <w:start w:val="5"/>
    </w:lvl>
  </w:abstractNum>
  <w:abstractNum w:abstractNumId="5">
    <w:nsid w:val="140E0F76"/>
    <w:multiLevelType w:val="hybridMultilevel"/>
    <w:lvl w:ilvl="0">
      <w:lvlJc w:val="left"/>
      <w:lvlText w:val="%1)"/>
      <w:numFmt w:val="upperLetter"/>
      <w:start w:val="6"/>
    </w:lvl>
    <w:lvl w:ilvl="1">
      <w:lvlJc w:val="left"/>
      <w:lvlText w:val="%2."/>
      <w:numFmt w:val="decimal"/>
      <w:start w:val="1"/>
    </w:lvl>
  </w:abstractNum>
  <w:abstractNum w:abstractNumId="6">
    <w:nsid w:val="3352255A"/>
    <w:multiLevelType w:val="hybridMultilevel"/>
    <w:lvl w:ilvl="0">
      <w:lvlJc w:val="left"/>
      <w:lvlText w:val="%1)"/>
      <w:numFmt w:val="upperLetter"/>
      <w:start w:val="10"/>
    </w:lvl>
  </w:abstractNum>
  <w:abstractNum w:abstractNumId="7">
    <w:nsid w:val="109CF92E"/>
    <w:multiLevelType w:val="hybridMultilevel"/>
    <w:lvl w:ilvl="0">
      <w:lvlJc w:val="left"/>
      <w:lvlText w:val="%1)"/>
      <w:numFmt w:val="upperLetter"/>
      <w:start w:val="13"/>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lowerRoman"/>
      <w:start w:val="4"/>
    </w:lvl>
  </w:abstractNum>
  <w:abstractNum w:abstractNumId="10">
    <w:nsid w:val="1BEFD79F"/>
    <w:multiLevelType w:val="hybridMultilevel"/>
    <w:lvl w:ilvl="0">
      <w:lvlJc w:val="left"/>
      <w:lvlText w:val="%1)"/>
      <w:numFmt w:val="lowerRoman"/>
      <w:start w:val="5"/>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2019-12-06T15:54:26Z</dcterms:created>
  <dcterms:modified xsi:type="dcterms:W3CDTF">2019-12-06T15:54:26Z</dcterms:modified>
</cp:coreProperties>
</file>