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wre-20250930.htm"/>
      <w:bookmarkStart w:id="1" w:name="ksawre20250930"/>
      <w:bookmarkEnd w:id="0"/>
      <w:bookmarkEnd w:id="1"/>
      <w:r>
        <w:rPr/>
        <w:t> </w:t>
      </w:r>
    </w:p>
    <w:p>
      <w:pPr>
        <w:pStyle w:val="TextBody"/>
        <w:pBdr>
          <w:top w:val="double" w:sz="4" w:space="1" w:color="000000"/>
        </w:pBdr>
        <w:bidi w:val="0"/>
        <w:jc w:val="center"/>
        <w:rPr>
          <w:rFonts w:ascii="Times New Roman" w:hAnsi="Times New Roman"/>
          <w:color w:val="000000"/>
          <w:sz w:val="8"/>
        </w:rPr>
      </w:pPr>
      <w:r>
        <w:rPr>
          <w:rFonts w:ascii="Times New Roman" w:hAnsi="Times New Roman"/>
          <w:color w:val="000000"/>
          <w:sz w:val="8"/>
        </w:rPr>
        <w:t>3</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color w:val="000000"/>
          <w:sz w:val="24"/>
        </w:rPr>
      </w:pPr>
      <w:r>
        <w:rPr>
          <w:rFonts w:ascii="Times New Roman" w:hAnsi="Times New Roman"/>
          <w:color w:val="000000"/>
          <w:sz w:val="24"/>
        </w:rPr>
        <w:t>Washington, D.C. 20549</w:t>
      </w:r>
    </w:p>
    <w:p>
      <w:pPr>
        <w:pStyle w:val="TextBody"/>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80" w:after="283"/>
        <w:jc w:val="center"/>
        <w:rPr/>
      </w:pPr>
      <w:r>
        <w:rPr/>
        <w:t> </w:t>
      </w:r>
    </w:p>
    <w:tbl>
      <w:tblPr>
        <w:tblW w:w="6803" w:type="dxa"/>
        <w:jc w:val="left"/>
        <w:tblInd w:w="0" w:type="dxa"/>
        <w:tblLayout w:type="fixed"/>
        <w:tblCellMar>
          <w:top w:w="28" w:type="dxa"/>
          <w:left w:w="28" w:type="dxa"/>
          <w:bottom w:w="28" w:type="dxa"/>
          <w:right w:w="28" w:type="dxa"/>
        </w:tblCellMar>
      </w:tblPr>
      <w:tblGrid>
        <w:gridCol w:w="349"/>
        <w:gridCol w:w="6454"/>
      </w:tblGrid>
      <w:tr>
        <w:trPr/>
        <w:tc>
          <w:tcPr>
            <w:tcW w:w="349" w:type="dxa"/>
            <w:tcBorders/>
            <w:vAlign w:val="center"/>
          </w:tcPr>
          <w:p>
            <w:pPr>
              <w:pStyle w:val="TableContents"/>
              <w:bidi w:val="0"/>
              <w:spacing w:before="0" w:after="283"/>
              <w:jc w:val="left"/>
              <w:rPr>
                <w:sz w:val="4"/>
                <w:szCs w:val="4"/>
              </w:rPr>
            </w:pPr>
            <w:r>
              <w:rPr>
                <w:sz w:val="4"/>
                <w:szCs w:val="4"/>
              </w:rPr>
            </w:r>
          </w:p>
        </w:tc>
        <w:tc>
          <w:tcPr>
            <w:tcW w:w="6454" w:type="dxa"/>
            <w:tcBorders/>
            <w:vAlign w:val="center"/>
          </w:tcPr>
          <w:p>
            <w:pPr>
              <w:pStyle w:val="TableContents"/>
              <w:bidi w:val="0"/>
              <w:spacing w:before="0" w:after="283"/>
              <w:ind w:left="0" w:right="0" w:firstLine="18"/>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left"/>
              <w:rPr>
                <w:color w:val="000000"/>
              </w:rPr>
            </w:pPr>
            <w:r>
              <w:rPr>
                <w:color w:val="000000"/>
              </w:rPr>
              <w:t>☒</w:t>
            </w:r>
          </w:p>
        </w:tc>
        <w:tc>
          <w:tcPr>
            <w:tcW w:w="6454"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Quarterly Report pursuant to Section 13 or 15(d) of the Securities Exchange Act of 1934</w:t>
            </w:r>
          </w:p>
        </w:tc>
      </w:tr>
    </w:tbl>
    <w:p>
      <w:pPr>
        <w:pStyle w:val="TextBody"/>
        <w:bidi w:val="0"/>
        <w:spacing w:before="54" w:after="283"/>
        <w:jc w:val="left"/>
        <w:rPr>
          <w:rFonts w:ascii="Times New Roman" w:hAnsi="Times New Roman"/>
          <w:color w:val="000000"/>
          <w:sz w:val="18"/>
        </w:rPr>
      </w:pPr>
      <w:r>
        <w:rPr>
          <w:rFonts w:ascii="Times New Roman" w:hAnsi="Times New Roman"/>
          <w:color w:val="000000"/>
          <w:sz w:val="18"/>
        </w:rPr>
        <w:t>For the quarterly period ended September 30, 2025</w:t>
      </w:r>
    </w:p>
    <w:p>
      <w:pPr>
        <w:pStyle w:val="TextBody"/>
        <w:bidi w:val="0"/>
        <w:spacing w:before="108" w:after="283"/>
        <w:jc w:val="center"/>
        <w:rPr>
          <w:rFonts w:ascii="Times New Roman" w:hAnsi="Times New Roman"/>
          <w:color w:val="000000"/>
          <w:sz w:val="18"/>
        </w:rPr>
      </w:pPr>
      <w:r>
        <w:rPr>
          <w:rFonts w:ascii="Times New Roman" w:hAnsi="Times New Roman"/>
          <w:color w:val="000000"/>
          <w:sz w:val="18"/>
        </w:rPr>
        <w:t>OR</w:t>
      </w:r>
    </w:p>
    <w:p>
      <w:pPr>
        <w:pStyle w:val="TextBody"/>
        <w:bidi w:val="0"/>
        <w:jc w:val="center"/>
        <w:rPr/>
      </w:pPr>
      <w:r>
        <w:rPr/>
        <w:t> </w:t>
      </w:r>
    </w:p>
    <w:tbl>
      <w:tblPr>
        <w:tblW w:w="6951" w:type="dxa"/>
        <w:jc w:val="left"/>
        <w:tblInd w:w="0" w:type="dxa"/>
        <w:tblLayout w:type="fixed"/>
        <w:tblCellMar>
          <w:top w:w="28" w:type="dxa"/>
          <w:left w:w="28" w:type="dxa"/>
          <w:bottom w:w="28" w:type="dxa"/>
          <w:right w:w="28" w:type="dxa"/>
        </w:tblCellMar>
      </w:tblPr>
      <w:tblGrid>
        <w:gridCol w:w="161"/>
        <w:gridCol w:w="146"/>
        <w:gridCol w:w="146"/>
        <w:gridCol w:w="1893"/>
        <w:gridCol w:w="1893"/>
        <w:gridCol w:w="271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color w:val="000000"/>
              </w:rPr>
            </w:pPr>
            <w:r>
              <w:rPr>
                <w:color w:val="000000"/>
              </w:rPr>
              <w:t>☐</w:t>
            </w:r>
          </w:p>
        </w:tc>
        <w:tc>
          <w:tcPr>
            <w:tcW w:w="649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Transition Report pursuant to Section 13 or 15(d) of the Securities Exchange Act of 1934</w:t>
            </w:r>
          </w:p>
        </w:tc>
      </w:tr>
    </w:tbl>
    <w:p>
      <w:pPr>
        <w:pStyle w:val="TextBody"/>
        <w:bidi w:val="0"/>
        <w:jc w:val="left"/>
        <w:rPr>
          <w:rFonts w:ascii="Times New Roman" w:hAnsi="Times New Roman"/>
          <w:color w:val="000000"/>
          <w:sz w:val="18"/>
        </w:rPr>
      </w:pPr>
      <w:r>
        <w:rPr>
          <w:rFonts w:ascii="Times New Roman" w:hAnsi="Times New Roman"/>
          <w:color w:val="000000"/>
          <w:sz w:val="18"/>
        </w:rPr>
        <w:t>For the transition period from _________ to _________</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000-21129</w:t>
      </w:r>
    </w:p>
    <w:p>
      <w:pPr>
        <w:pStyle w:val="TextBody"/>
        <w:bidi w:val="0"/>
        <w:jc w:val="center"/>
        <w:rPr/>
      </w:pPr>
      <w:r>
        <w:rPr/>
        <w:t> </w:t>
      </w:r>
    </w:p>
    <w:p>
      <w:pPr>
        <w:pStyle w:val="TextBody"/>
        <w:bidi w:val="0"/>
        <w:jc w:val="center"/>
        <w:rPr>
          <w:rFonts w:ascii="Times New Roman" w:hAnsi="Times New Roman"/>
          <w:b/>
          <w:color w:val="000000"/>
          <w:sz w:val="36"/>
          <w:u w:val="single"/>
        </w:rPr>
      </w:pPr>
      <w:r>
        <w:rPr>
          <w:rFonts w:ascii="Times New Roman" w:hAnsi="Times New Roman"/>
          <w:b/>
          <w:color w:val="000000"/>
          <w:sz w:val="36"/>
          <w:u w:val="single"/>
        </w:rPr>
        <w:t>AWARE,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098" w:type="dxa"/>
        <w:jc w:val="left"/>
        <w:tblInd w:w="0" w:type="dxa"/>
        <w:tblLayout w:type="fixed"/>
        <w:tblCellMar>
          <w:top w:w="28" w:type="dxa"/>
          <w:left w:w="28" w:type="dxa"/>
          <w:bottom w:w="28" w:type="dxa"/>
          <w:right w:w="28" w:type="dxa"/>
        </w:tblCellMar>
      </w:tblPr>
      <w:tblGrid>
        <w:gridCol w:w="2281"/>
        <w:gridCol w:w="146"/>
        <w:gridCol w:w="267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04-2911026</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76 Blanchard Road, Burlington, Massachusetts, 01803</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w:t>
      </w:r>
    </w:p>
    <w:p>
      <w:pPr>
        <w:pStyle w:val="TextBody"/>
        <w:bidi w:val="0"/>
        <w:jc w:val="center"/>
        <w:rPr>
          <w:rFonts w:ascii="Times New Roman" w:hAnsi="Times New Roman"/>
          <w:color w:val="000000"/>
          <w:sz w:val="16"/>
        </w:rPr>
      </w:pPr>
      <w:r>
        <w:rPr>
          <w:rFonts w:ascii="Times New Roman" w:hAnsi="Times New Roman"/>
          <w:color w:val="000000"/>
          <w:sz w:val="16"/>
        </w:rPr>
        <w:t>(Zip Code)</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(781) 687-0300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center"/>
        <w:rPr/>
      </w:pPr>
      <w:r>
        <w:rPr/>
        <w:t>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106"/>
        <w:gridCol w:w="146"/>
        <w:gridCol w:w="1276"/>
        <w:gridCol w:w="146"/>
        <w:gridCol w:w="346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AWRE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number of shares outstanding of the registrant’s common stock as of October 28, 2025 was 21,373,696.</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SEPTEMBER 30, 2025</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
        <w:gridCol w:w="146"/>
        <w:gridCol w:w="8738"/>
        <w:gridCol w:w="572"/>
      </w:tblGrid>
      <w:tr>
        <w:trPr/>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item_1_consolidated_financial_statement">
              <w:r>
                <w:rPr>
                  <w:rStyle w:val="InternetLink"/>
                  <w:rFonts w:ascii="Times New Roman" w:hAnsi="Times New Roman"/>
                  <w:color w:val="0000FF"/>
                  <w:sz w:val="20"/>
                  <w:u w:val="single"/>
                </w:rPr>
                <w:t>Unaudited Consolidated Financial Statements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September 30, 2025 and December 31, 2024</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and Comprehensive Loss for the Three and Nine Months Ended September 30, 2025 and September 30, 2024</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Nine Months Ended September 30, 2025 and September 30, 2024</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 for the Three and Nine Months Ended September 30, 2025 and September 30, 2024</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item_controls_and_procedures">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
              <w:r>
                <w:rPr>
                  <w:rStyle w:val="InternetLink"/>
                  <w:rFonts w:ascii="Times New Roman" w:hAnsi="Times New Roman"/>
                  <w:color w:val="0000FF"/>
                  <w:sz w:val="20"/>
                  <w:u w:val="single"/>
                </w:rPr>
                <w:t>Unregistered Sales of Equity Securities and Use of Proceeds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3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24</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1. FINANCIAL INFORMATION</w:t>
      </w:r>
    </w:p>
    <w:p>
      <w:pPr>
        <w:pStyle w:val="TextBody"/>
        <w:bidi w:val="0"/>
        <w:jc w:val="center"/>
        <w:rPr>
          <w:rFonts w:ascii="Times New Roman" w:hAnsi="Times New Roman"/>
          <w:b/>
          <w:color w:val="000000"/>
          <w:sz w:val="20"/>
        </w:rPr>
      </w:pPr>
      <w:bookmarkStart w:id="3" w:name="item_1_consolidated_financial_statement"/>
      <w:bookmarkEnd w:id="3"/>
      <w:r>
        <w:rPr>
          <w:rFonts w:ascii="Times New Roman" w:hAnsi="Times New Roman"/>
          <w:b/>
          <w:color w:val="000000"/>
          <w:sz w:val="20"/>
        </w:rPr>
        <w:t>ITEM 1: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8"/>
        <w:gridCol w:w="146"/>
        <w:gridCol w:w="239"/>
        <w:gridCol w:w="892"/>
        <w:gridCol w:w="166"/>
        <w:gridCol w:w="146"/>
        <w:gridCol w:w="235"/>
        <w:gridCol w:w="870"/>
        <w:gridCol w:w="593"/>
      </w:tblGrid>
      <w:tr>
        <w:trPr/>
        <w:tc>
          <w:tcPr>
            <w:tcW w:w="6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42,644</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$1.00 par value; 1,000,000 shares authorized,</w:t>
              <w:br/>
              <w:t>   none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$.01 par value; 70,000,000 shares authorized; issued and outstanding of 21,355,227 as of September 30, 2025 and 21,096,580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42,644</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 and COMPREHNSIVE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832" w:type="dxa"/>
        <w:jc w:val="left"/>
        <w:tblInd w:w="0" w:type="dxa"/>
        <w:tblLayout w:type="fixed"/>
        <w:tblCellMar>
          <w:top w:w="28" w:type="dxa"/>
          <w:left w:w="28" w:type="dxa"/>
          <w:bottom w:w="28" w:type="dxa"/>
          <w:right w:w="28" w:type="dxa"/>
        </w:tblCellMar>
      </w:tblPr>
      <w:tblGrid>
        <w:gridCol w:w="4611"/>
        <w:gridCol w:w="146"/>
        <w:gridCol w:w="211"/>
        <w:gridCol w:w="676"/>
        <w:gridCol w:w="166"/>
        <w:gridCol w:w="146"/>
        <w:gridCol w:w="211"/>
        <w:gridCol w:w="676"/>
        <w:gridCol w:w="166"/>
        <w:gridCol w:w="146"/>
        <w:gridCol w:w="211"/>
        <w:gridCol w:w="676"/>
        <w:gridCol w:w="166"/>
        <w:gridCol w:w="146"/>
        <w:gridCol w:w="211"/>
        <w:gridCol w:w="676"/>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6" w:name="consolidated_statements_cash_flows"/>
      <w:bookmarkEnd w:id="6"/>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2"/>
        <w:gridCol w:w="146"/>
        <w:gridCol w:w="211"/>
        <w:gridCol w:w="676"/>
        <w:gridCol w:w="166"/>
        <w:gridCol w:w="146"/>
        <w:gridCol w:w="211"/>
        <w:gridCol w:w="676"/>
        <w:gridCol w:w="1011"/>
      </w:tblGrid>
      <w:tr>
        <w:trPr/>
        <w:tc>
          <w:tcPr>
            <w:tcW w:w="6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w:t>
              <w:br/>
              <w:t>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(Recovery)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made for taxes of employees who surrendered shares related to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11,223</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The accompanying notes are an integral part of the consolidated financial statements</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b/>
          <w:color w:val="000000"/>
          <w:sz w:val="20"/>
        </w:rPr>
      </w:pPr>
      <w:bookmarkStart w:id="7" w:name="consolidated_statements_stockholders_equ"/>
      <w:bookmarkEnd w:id="7"/>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3"/>
        <w:gridCol w:w="146"/>
        <w:gridCol w:w="146"/>
        <w:gridCol w:w="601"/>
        <w:gridCol w:w="166"/>
        <w:gridCol w:w="146"/>
        <w:gridCol w:w="236"/>
        <w:gridCol w:w="455"/>
        <w:gridCol w:w="146"/>
        <w:gridCol w:w="146"/>
        <w:gridCol w:w="196"/>
        <w:gridCol w:w="691"/>
        <w:gridCol w:w="166"/>
        <w:gridCol w:w="146"/>
        <w:gridCol w:w="240"/>
        <w:gridCol w:w="811"/>
        <w:gridCol w:w="166"/>
        <w:gridCol w:w="146"/>
        <w:gridCol w:w="521"/>
        <w:gridCol w:w="918"/>
        <w:gridCol w:w="166"/>
        <w:gridCol w:w="146"/>
        <w:gridCol w:w="256"/>
        <w:gridCol w:w="791"/>
        <w:gridCol w:w="414"/>
      </w:tblGrid>
      <w:tr>
        <w:trPr/>
        <w:tc>
          <w:tcPr>
            <w:tcW w:w="2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and Nine Months Ended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surrendered by employees to pay taxes related to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unrestricted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27,238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0"/>
        <w:gridCol w:w="146"/>
        <w:gridCol w:w="146"/>
        <w:gridCol w:w="601"/>
        <w:gridCol w:w="166"/>
        <w:gridCol w:w="146"/>
        <w:gridCol w:w="236"/>
        <w:gridCol w:w="455"/>
        <w:gridCol w:w="166"/>
        <w:gridCol w:w="146"/>
        <w:gridCol w:w="196"/>
        <w:gridCol w:w="691"/>
        <w:gridCol w:w="166"/>
        <w:gridCol w:w="146"/>
        <w:gridCol w:w="240"/>
        <w:gridCol w:w="811"/>
        <w:gridCol w:w="166"/>
        <w:gridCol w:w="146"/>
        <w:gridCol w:w="578"/>
        <w:gridCol w:w="864"/>
        <w:gridCol w:w="166"/>
        <w:gridCol w:w="146"/>
        <w:gridCol w:w="257"/>
        <w:gridCol w:w="791"/>
        <w:gridCol w:w="413"/>
      </w:tblGrid>
      <w:tr>
        <w:trPr/>
        <w:tc>
          <w:tcPr>
            <w:tcW w:w="2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and Nine Months Ended</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34,298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33,424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Shares surrender by employees to pay taxes related to unrestricted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31,891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AWARE, INC.</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 Description of the Company and Basis of Presentation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Description of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leading biometric authentication company focused on helping organizations verify and secure identities through advanced biometric technologies. Our software is designed to meet the increasing need for secure, user-friendly authentication solutions across both government and commercial sectors. Built on diverse, global data sets, our algorithms can be adapted to meet a wide range of security requirements. We support identity-related functions, such as enrollment, identification, and authentication, using various unique and hard to replicate biometric modalities, including fingerprints, facial recognition, iris scans, and voice analysis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Enroll:</w:t>
      </w:r>
      <w:r>
        <w:rPr>
          <w:color w:val="000000"/>
        </w:rPr>
        <w:t xml:space="preserve"> </w:t>
      </w:r>
      <w:r>
        <w:rPr>
          <w:rFonts w:ascii="Times New Roman" w:hAnsi="Times New Roman"/>
          <w:color w:val="000000"/>
          <w:sz w:val="20"/>
        </w:rPr>
        <w:t>Register biometric identities into an organization’s secure database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Identify:</w:t>
      </w:r>
      <w:r>
        <w:rPr>
          <w:color w:val="000000"/>
        </w:rPr>
        <w:t xml:space="preserve"> </w:t>
      </w:r>
      <w:r>
        <w:rPr>
          <w:rFonts w:ascii="Times New Roman" w:hAnsi="Times New Roman"/>
          <w:color w:val="000000"/>
          <w:sz w:val="20"/>
        </w:rPr>
        <w:t>Utilize an organization’s secure database to accurately identify individuals using biometric data</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Authenticate:</w:t>
      </w:r>
      <w:r>
        <w:rPr>
          <w:color w:val="000000"/>
        </w:rPr>
        <w:t xml:space="preserve"> </w:t>
      </w:r>
      <w:r>
        <w:rPr>
          <w:rFonts w:ascii="Times New Roman" w:hAnsi="Times New Roman"/>
          <w:color w:val="000000"/>
          <w:sz w:val="20"/>
        </w:rPr>
        <w:t>Provide frictionless multi-factor, passwordless access to secured accounts and databases with biometric verification</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Enable:</w:t>
      </w:r>
      <w:r>
        <w:rPr>
          <w:color w:val="000000"/>
        </w:rPr>
        <w:t xml:space="preserve"> </w:t>
      </w:r>
      <w:r>
        <w:rPr>
          <w:rFonts w:ascii="Times New Roman" w:hAnsi="Times New Roman"/>
          <w:color w:val="000000"/>
          <w:sz w:val="20"/>
        </w:rPr>
        <w:t>Manage the lifecycle of secure identities through optimized biometric interchanges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been a trusted provider of biometric technology since 1993. Our comprehensive portfolio of biometric solutions is based on innovative, robust products designed explicitly for ease of integration, including customer-managed and integration ready biometric frameworks, platforms, software development kits (“SDKs”) and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and secure transaction enablement.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products provide interoperable, standards-compliant, field-proven biometric functionality and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 added resellers (“VARs”), partners, and directly to select end user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amounts in the consolidated financial statements and associated notes may not add due to rounding. All percentages have been calculated using unrounded amounts.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two years ended December 31, 2024 in conjunction with our 2024 Annual Report on Form 10-K. This Form 10-Q should be read in conjunction with that Form 10-K.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accompanying unaudited consolidated balance sheets, statements of operations and comprehensive loss, statements of cash flows, and statements of stockholders’ equity reflect all adjustments (consisting only of normal recurring items) which are, in the opinion of management, necessary for a fair presentation of financial position at September 30, 2025, and of operations and cash flows for the interim periods ended September 30, 2025 and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results of operations for the interim periods ended September 30, 2025 are not necessarily indicative of the results to be expected for the year. </w:t>
      </w:r>
    </w:p>
    <w:p>
      <w:pPr>
        <w:pStyle w:val="TextBody"/>
        <w:bidi w:val="0"/>
        <w:spacing w:before="400" w:after="283"/>
        <w:jc w:val="both"/>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consolidated financial statements include the accounts of Aware, Inc. and its subsidiaries, Aware Security Corporation and Fortr3ss, Inc. Intercompany accounts and transactions have been eliminated in consolidation.</w:t>
      </w:r>
    </w:p>
    <w:p>
      <w:pPr>
        <w:pStyle w:val="TextBody"/>
        <w:bidi w:val="0"/>
        <w:spacing w:before="400" w:after="283"/>
        <w:jc w:val="both"/>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our consolidated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Estimates used in these financial statements include but are not limited to, revenue recognition, goodwill and long-lived asset impairment, stock based compensation, income taxes, and allowance for credit losses.</w:t>
      </w:r>
    </w:p>
    <w:p>
      <w:pPr>
        <w:pStyle w:val="TextBody"/>
        <w:bidi w:val="0"/>
        <w:spacing w:before="40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November 2023, the Financial Accounting Standards Board (“FASB”) issued Accounting Standard Update (“ASU”) No. 2023-07, Segment Reporting (Topic 280): Improvements to Reportable Segment Disclosures, which requires retrospective disclosure of significant segment expenses and other segment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items on an annual and interim basis. Additionally, it requires disclosure of the title and position of the Chief Operating Decision Maker (“CODM”). This ASU was effective for our fiscal year ending on December 31, 2024 and interim periods beginning in fiscal 2025, with early adoption permitted. Adoption of this guidance did not have a material impact on the Company’s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requires an annual tabular effective tax rate reconciliation disclosure including information for specified categories and jurisdiction levels, as well as, disclosure of income taxes paid, net of refunds received, disaggregated by federal, state/local, and significant foreign jurisdiction. This ASU will be effective for our fiscal year ending on December 31, 2025, with early adoption permitted. We are assessing the impact of the standard on our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Revenue Recognition</w:t>
      </w:r>
    </w:p>
    <w:p>
      <w:pPr>
        <w:pStyle w:val="TextBody"/>
        <w:bidi w:val="0"/>
        <w:spacing w:before="200" w:after="283"/>
        <w:jc w:val="both"/>
        <w:rPr>
          <w:rFonts w:ascii="Times New Roman" w:hAnsi="Times New Roman"/>
          <w:sz w:val="20"/>
        </w:rPr>
      </w:pPr>
      <w:r>
        <w:rPr>
          <w:rFonts w:ascii="Times New Roman" w:hAnsi="Times New Roman"/>
          <w:color w:val="000000"/>
          <w:sz w:val="20"/>
        </w:rPr>
        <w:t>We recognize revenue in accordance with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Under ASC 606, we apply the following five step model: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Identify the contract with the customer;</w:t>
      </w:r>
    </w:p>
    <w:p>
      <w:pPr>
        <w:pStyle w:val="TextBody"/>
        <w:bidi w:val="0"/>
        <w:jc w:val="both"/>
        <w:rPr>
          <w:rFonts w:ascii="Times New Roman" w:hAnsi="Times New Roman"/>
          <w:color w:val="000000"/>
          <w:sz w:val="20"/>
        </w:rPr>
      </w:pPr>
      <w:r>
        <w:rPr>
          <w:rFonts w:ascii="Times New Roman" w:hAnsi="Times New Roman"/>
          <w:color w:val="000000"/>
          <w:sz w:val="20"/>
        </w:rPr>
        <w:t>2. Identify the performance obligations in the contract;</w:t>
      </w:r>
    </w:p>
    <w:p>
      <w:pPr>
        <w:pStyle w:val="TextBody"/>
        <w:bidi w:val="0"/>
        <w:jc w:val="both"/>
        <w:rPr>
          <w:rFonts w:ascii="Times New Roman" w:hAnsi="Times New Roman"/>
          <w:color w:val="000000"/>
          <w:sz w:val="20"/>
        </w:rPr>
      </w:pPr>
      <w:r>
        <w:rPr>
          <w:rFonts w:ascii="Times New Roman" w:hAnsi="Times New Roman"/>
          <w:color w:val="000000"/>
          <w:sz w:val="20"/>
        </w:rPr>
        <w:t>3. Determine the transaction price;</w:t>
      </w:r>
    </w:p>
    <w:p>
      <w:pPr>
        <w:pStyle w:val="TextBody"/>
        <w:bidi w:val="0"/>
        <w:jc w:val="both"/>
        <w:rPr>
          <w:rFonts w:ascii="Times New Roman" w:hAnsi="Times New Roman"/>
          <w:color w:val="000000"/>
          <w:sz w:val="20"/>
        </w:rPr>
      </w:pPr>
      <w:r>
        <w:rPr>
          <w:rFonts w:ascii="Times New Roman" w:hAnsi="Times New Roman"/>
          <w:color w:val="000000"/>
          <w:sz w:val="20"/>
        </w:rPr>
        <w:t>4. Allocate the transaction price to the performance obligations in the contract; and</w:t>
      </w:r>
    </w:p>
    <w:p>
      <w:pPr>
        <w:pStyle w:val="TextBody"/>
        <w:bidi w:val="0"/>
        <w:jc w:val="both"/>
        <w:rPr>
          <w:rFonts w:ascii="Times New Roman" w:hAnsi="Times New Roman"/>
          <w:color w:val="000000"/>
          <w:sz w:val="20"/>
        </w:rPr>
      </w:pPr>
      <w:r>
        <w:rPr>
          <w:rFonts w:ascii="Times New Roman" w:hAnsi="Times New Roman"/>
          <w:color w:val="000000"/>
          <w:sz w:val="20"/>
        </w:rPr>
        <w:t>5. Recognize revenue when (or as) each performance obligation is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categorize revenue as software licenses, software maintenance, or services and other. Revenue from software licenses is recognized at a point in time upon delivery, provided all other revenue recognition criteria are met. We recognize software maintenance revenue over time on a straight-line basis over the contract period. Services revenue is recognized over time as the services are delivered using an input method (i.e., labor hours incurred as a percentage of total labor hours budgeted), provided all other revenue recognition criteria are met. Other revenue includes hardware sales that may be included in a software license, is recognized at a point in time upon delivery provided all other revenue recognition criteria are met.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 (“SSP”) basis.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selling prices to estimate SSP when we sell each of the goods and services separately and need to determine whether there is a discount that needs to be allocated based on the relative SSP of the various goods and services within multiple performance obligation arrangements.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 In these instances, we may use information such as the nature of the customer and distribution channel in determining the SSP.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When subscription-based software is sold, the subscription-based software and software maintenance are generally considered distinct performance obligations. The transaction price is allocated to subscription-based software and the software maintenance based on the relative SSP of each performance obligation.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sell subscription-based software for a fixed fee and/or a usage-based royalty fee, sometimes subject to a minimum guarantee. When the amount is in the form of a fixed fee, including the guaranteed minimum in subscription-based royalties, revenue is allocated to the subscription-based software and recognized at a point in time upon delivery, provided all other revenue recognition criteria are met. Revenue allocated to the software maintenance is recognized over the contract term on a straight-line basis. Any subscription-based software fees earned not subject to the guaranteed minimum or earned in excess of the minimum amount are recognized as revenue when the subsequent usage occurs.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contracts can include variable fees, such as the option to purchase additional usage of a previously delivered software license. We may also provide pricing concessions to clients, a business practice that also gives rise to variable fees in contracts.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of consideration is typically not adjusted for a significant financing component if the time between payment and the transfer of the related good or service is one year or less under the practical expedient in the guidance. Our revenue arrangements are typically accounted for under such expedient, as payment is typically due within 30 to 60 days. During the three and nine month periods ended September 30, 2025 and 2024, none of our contracts contained a significant financing component.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from Software as a Service (“SaaS”) contracts is recognized ratably over the subscription period in accordance with the terms of the customer agreement. For the three and nine months ended September 30, 2025, we recognized $0.2 million and $0.3 million, respectively, in SaaS revenue, compared to $0.1 million for each of the corresponding periods in 2024. SaaS revenue is included in software maintenance revenue in the consolidated statements of operations.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Cost of revenue associated with each category of revenue, may include internal engineering labor, third-party contractors, software license fees, and hardware costs.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Disaggregation of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organize ourselves into a single segment that reports to the Chief Executive Officer, who is our CODM. We conduct our operations in the United States and sell our products and services to domestic and international customers. Revenue generated from the following geographic regions was (in thousands):</w:t>
      </w:r>
    </w:p>
    <w:p>
      <w:pPr>
        <w:pStyle w:val="TextBody"/>
        <w:bidi w:val="0"/>
        <w:spacing w:before="200" w:after="283"/>
        <w:jc w:val="both"/>
        <w:rPr/>
      </w:pPr>
      <w:r>
        <w:rPr/>
        <w:t> </w:t>
      </w:r>
    </w:p>
    <w:tbl>
      <w:tblPr>
        <w:tblW w:w="6055" w:type="dxa"/>
        <w:jc w:val="left"/>
        <w:tblInd w:w="0" w:type="dxa"/>
        <w:tblLayout w:type="fixed"/>
        <w:tblCellMar>
          <w:top w:w="28" w:type="dxa"/>
          <w:left w:w="28" w:type="dxa"/>
          <w:bottom w:w="28" w:type="dxa"/>
          <w:right w:w="28" w:type="dxa"/>
        </w:tblCellMar>
      </w:tblPr>
      <w:tblGrid>
        <w:gridCol w:w="1486"/>
        <w:gridCol w:w="146"/>
        <w:gridCol w:w="213"/>
        <w:gridCol w:w="577"/>
        <w:gridCol w:w="147"/>
        <w:gridCol w:w="147"/>
        <w:gridCol w:w="213"/>
        <w:gridCol w:w="577"/>
        <w:gridCol w:w="146"/>
        <w:gridCol w:w="146"/>
        <w:gridCol w:w="211"/>
        <w:gridCol w:w="676"/>
        <w:gridCol w:w="146"/>
        <w:gridCol w:w="146"/>
        <w:gridCol w:w="211"/>
        <w:gridCol w:w="676"/>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by timing of transfer of goods or services was (in thousands):</w:t>
      </w:r>
    </w:p>
    <w:p>
      <w:pPr>
        <w:pStyle w:val="TextBody"/>
        <w:bidi w:val="0"/>
        <w:jc w:val="both"/>
        <w:rPr/>
      </w:pPr>
      <w:r>
        <w:rPr/>
        <w:t> </w:t>
      </w:r>
    </w:p>
    <w:tbl>
      <w:tblPr>
        <w:tblW w:w="8440" w:type="dxa"/>
        <w:jc w:val="left"/>
        <w:tblInd w:w="0" w:type="dxa"/>
        <w:tblLayout w:type="fixed"/>
        <w:tblCellMar>
          <w:top w:w="28" w:type="dxa"/>
          <w:left w:w="28" w:type="dxa"/>
          <w:bottom w:w="28" w:type="dxa"/>
          <w:right w:w="28" w:type="dxa"/>
        </w:tblCellMar>
      </w:tblPr>
      <w:tblGrid>
        <w:gridCol w:w="3871"/>
        <w:gridCol w:w="146"/>
        <w:gridCol w:w="213"/>
        <w:gridCol w:w="577"/>
        <w:gridCol w:w="147"/>
        <w:gridCol w:w="147"/>
        <w:gridCol w:w="213"/>
        <w:gridCol w:w="577"/>
        <w:gridCol w:w="146"/>
        <w:gridCol w:w="146"/>
        <w:gridCol w:w="211"/>
        <w:gridCol w:w="676"/>
        <w:gridCol w:w="146"/>
        <w:gridCol w:w="146"/>
        <w:gridCol w:w="211"/>
        <w:gridCol w:w="67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Goods or services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Goods or services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by contract type was (in thousands):</w:t>
      </w:r>
    </w:p>
    <w:tbl>
      <w:tblPr>
        <w:tblW w:w="7060" w:type="dxa"/>
        <w:jc w:val="left"/>
        <w:tblInd w:w="0" w:type="dxa"/>
        <w:tblLayout w:type="fixed"/>
        <w:tblCellMar>
          <w:top w:w="28" w:type="dxa"/>
          <w:left w:w="28" w:type="dxa"/>
          <w:bottom w:w="28" w:type="dxa"/>
          <w:right w:w="28" w:type="dxa"/>
        </w:tblCellMar>
      </w:tblPr>
      <w:tblGrid>
        <w:gridCol w:w="2491"/>
        <w:gridCol w:w="146"/>
        <w:gridCol w:w="213"/>
        <w:gridCol w:w="577"/>
        <w:gridCol w:w="147"/>
        <w:gridCol w:w="147"/>
        <w:gridCol w:w="213"/>
        <w:gridCol w:w="577"/>
        <w:gridCol w:w="146"/>
        <w:gridCol w:w="146"/>
        <w:gridCol w:w="211"/>
        <w:gridCol w:w="676"/>
        <w:gridCol w:w="146"/>
        <w:gridCol w:w="146"/>
        <w:gridCol w:w="211"/>
        <w:gridCol w:w="67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service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Subscription-based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from subscription-based contracts include revenue that may be recognized at a point in time or over time and be part of a fixed fee and or minimum guarantee as well as fees earned and allocated to software maintenance. </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Contract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timing of our delivery of goods or services is different from the timing of payments made by customers, we recognize either a contract asset (performance precedes customer billing) or a contract liability (customer payment precedes performance). Customers that prepay are represented by the deferred revenue below until the performance obligation is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contract assets consist of unbilled receivables. Our contract liabilities consist of deferred (unearned) revenue, which is generally related to software maintenance contracts. We classify deferred revenue as current or noncurrent based on the timing of when we expect to recognize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changes in our contract assets and liabilities during the three and nine months ended September 30, 2025 and 2024 (in thousands):</w:t>
      </w:r>
    </w:p>
    <w:p>
      <w:pPr>
        <w:pStyle w:val="TextBody"/>
        <w:bidi w:val="0"/>
        <w:spacing w:before="200" w:after="283"/>
        <w:jc w:val="both"/>
        <w:rPr/>
      </w:pPr>
      <w:r>
        <w:rPr/>
        <w:t> </w:t>
      </w:r>
    </w:p>
    <w:tbl>
      <w:tblPr>
        <w:tblW w:w="9370" w:type="dxa"/>
        <w:jc w:val="left"/>
        <w:tblInd w:w="0" w:type="dxa"/>
        <w:tblLayout w:type="fixed"/>
        <w:tblCellMar>
          <w:top w:w="28" w:type="dxa"/>
          <w:left w:w="28" w:type="dxa"/>
          <w:bottom w:w="28" w:type="dxa"/>
          <w:right w:w="28" w:type="dxa"/>
        </w:tblCellMar>
      </w:tblPr>
      <w:tblGrid>
        <w:gridCol w:w="3541"/>
        <w:gridCol w:w="146"/>
        <w:gridCol w:w="271"/>
        <w:gridCol w:w="734"/>
        <w:gridCol w:w="146"/>
        <w:gridCol w:w="146"/>
        <w:gridCol w:w="351"/>
        <w:gridCol w:w="954"/>
        <w:gridCol w:w="146"/>
        <w:gridCol w:w="146"/>
        <w:gridCol w:w="270"/>
        <w:gridCol w:w="811"/>
        <w:gridCol w:w="166"/>
        <w:gridCol w:w="146"/>
        <w:gridCol w:w="270"/>
        <w:gridCol w:w="735"/>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br/>
              <w:t>Recognized In</w:t>
              <w:br/>
              <w:t>Advance of</w:t>
              <w:br/>
              <w:t>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w:t>
              <w:br/>
              <w:t>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9"/>
        <w:gridCol w:w="146"/>
        <w:gridCol w:w="503"/>
        <w:gridCol w:w="1366"/>
        <w:gridCol w:w="146"/>
        <w:gridCol w:w="146"/>
        <w:gridCol w:w="425"/>
        <w:gridCol w:w="1155"/>
        <w:gridCol w:w="146"/>
        <w:gridCol w:w="146"/>
        <w:gridCol w:w="366"/>
        <w:gridCol w:w="1100"/>
        <w:gridCol w:w="166"/>
        <w:gridCol w:w="146"/>
        <w:gridCol w:w="407"/>
        <w:gridCol w:w="1107"/>
        <w:gridCol w:w="395"/>
      </w:tblGrid>
      <w:tr>
        <w:trPr/>
        <w:tc>
          <w:tcPr>
            <w:tcW w:w="2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 Recognized In</w:t>
              <w:br/>
              <w:t>Advance of 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End of Period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Billings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 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at End of Period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Remaining Performance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Remaining performance obligations represent the transaction prices from contracts for which work has not been performed or goods and services have not been delivered. We expect to recognize revenue on approximately 96% of the remaining deferred revenue over the next 12 months, with the remainder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recognized thereafter. As of September 30, 2025, the aggregate amount of the transaction prices allocated to remaining performance obligations for contracts with a duration greater than one year was $0.4 million.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FASB Codification defines fair value and establishes a fair value hierarchy that prioritizes the inputs to valuation techniques used to measure fair value. The three levels of the fair value hierarchy under the FASB Codification are: Level 1 – valuations that are based on quoted prices (unadjusted) in active markets for identical assets or liabilities that the reporting entity has the ability to access at the measurement date; Level 2 – valuations that are based on quoted prices in markets that are not active or for which all significant inputs are observable, either directly or indirectly; and Level 3 – valuations that require inputs that are both significant to the fair value measurement and unobservable.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and cash equivalents, which primarily include money market mutual funds were $6.3 million and $13.0 million as of September 30, 2025 and December 31, 2024, respectively. Marketable securities, which consists of U.S. Treasuries, were $16.2 million and $14.8 million as of September 30, 2025 and December 31, 2024, respectively. Our assets and liabilities that are measured at fair value on a recurring basis included the following (in thousands):</w:t>
      </w:r>
    </w:p>
    <w:p>
      <w:pPr>
        <w:pStyle w:val="TextBody"/>
        <w:bidi w:val="0"/>
        <w:jc w:val="both"/>
        <w:rPr/>
      </w:pPr>
      <w:r>
        <w:rPr/>
        <w:t> </w:t>
      </w:r>
    </w:p>
    <w:tbl>
      <w:tblPr>
        <w:tblW w:w="9252" w:type="dxa"/>
        <w:jc w:val="left"/>
        <w:tblInd w:w="0" w:type="dxa"/>
        <w:tblLayout w:type="fixed"/>
        <w:tblCellMar>
          <w:top w:w="28" w:type="dxa"/>
          <w:left w:w="28" w:type="dxa"/>
          <w:bottom w:w="28" w:type="dxa"/>
          <w:right w:w="28" w:type="dxa"/>
        </w:tblCellMar>
      </w:tblPr>
      <w:tblGrid>
        <w:gridCol w:w="3036"/>
        <w:gridCol w:w="146"/>
        <w:gridCol w:w="264"/>
        <w:gridCol w:w="848"/>
        <w:gridCol w:w="183"/>
        <w:gridCol w:w="183"/>
        <w:gridCol w:w="409"/>
        <w:gridCol w:w="672"/>
        <w:gridCol w:w="183"/>
        <w:gridCol w:w="183"/>
        <w:gridCol w:w="483"/>
        <w:gridCol w:w="793"/>
        <w:gridCol w:w="183"/>
        <w:gridCol w:w="183"/>
        <w:gridCol w:w="264"/>
        <w:gridCol w:w="848"/>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at September 30, 2025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w:t>
              <w:br/>
              <w:t>Prices in</w:t>
              <w:br/>
              <w:t>Active</w:t>
              <w:br/>
              <w:t>Markets for</w:t>
              <w:br/>
              <w:t>Identical</w:t>
              <w:br/>
              <w:t>Assets</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 (included in</w:t>
              <w:br/>
              <w:t>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pPr>
      <w:r>
        <w:rPr/>
        <w:t> </w:t>
      </w:r>
    </w:p>
    <w:tbl>
      <w:tblPr>
        <w:tblW w:w="8523" w:type="dxa"/>
        <w:jc w:val="left"/>
        <w:tblInd w:w="0" w:type="dxa"/>
        <w:tblLayout w:type="fixed"/>
        <w:tblCellMar>
          <w:top w:w="28" w:type="dxa"/>
          <w:left w:w="28" w:type="dxa"/>
          <w:bottom w:w="28" w:type="dxa"/>
          <w:right w:w="28" w:type="dxa"/>
        </w:tblCellMar>
      </w:tblPr>
      <w:tblGrid>
        <w:gridCol w:w="2956"/>
        <w:gridCol w:w="146"/>
        <w:gridCol w:w="264"/>
        <w:gridCol w:w="846"/>
        <w:gridCol w:w="146"/>
        <w:gridCol w:w="146"/>
        <w:gridCol w:w="409"/>
        <w:gridCol w:w="672"/>
        <w:gridCol w:w="146"/>
        <w:gridCol w:w="146"/>
        <w:gridCol w:w="483"/>
        <w:gridCol w:w="793"/>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at December 31,</w:t>
              <w:br/>
              <w:t>2024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w:t>
              <w:br/>
              <w:t>Prices in</w:t>
              <w:br/>
              <w:t>Active</w:t>
              <w:br/>
              <w:t>Markets for</w:t>
              <w:br/>
              <w:t>Identical</w:t>
              <w:b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 (included in</w:t>
              <w:br/>
              <w:t>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investments in marketable securities are classified as available-for-sale and are carried at fair value, with the unrealized gains and losses, net of tax, reported as a component of accumulated other comprehensive income (loss) in stockholders' equity.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Marketable securities by security type consisted of the following (in thousands):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6"/>
        <w:gridCol w:w="146"/>
        <w:gridCol w:w="331"/>
        <w:gridCol w:w="1065"/>
        <w:gridCol w:w="146"/>
        <w:gridCol w:w="146"/>
        <w:gridCol w:w="679"/>
        <w:gridCol w:w="1361"/>
        <w:gridCol w:w="146"/>
        <w:gridCol w:w="146"/>
        <w:gridCol w:w="793"/>
        <w:gridCol w:w="1303"/>
        <w:gridCol w:w="146"/>
        <w:gridCol w:w="146"/>
        <w:gridCol w:w="239"/>
        <w:gridCol w:w="771"/>
        <w:gridCol w:w="195"/>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 and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16,208</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9"/>
        <w:gridCol w:w="146"/>
        <w:gridCol w:w="330"/>
        <w:gridCol w:w="1063"/>
        <w:gridCol w:w="146"/>
        <w:gridCol w:w="146"/>
        <w:gridCol w:w="677"/>
        <w:gridCol w:w="1358"/>
        <w:gridCol w:w="146"/>
        <w:gridCol w:w="146"/>
        <w:gridCol w:w="914"/>
        <w:gridCol w:w="1177"/>
        <w:gridCol w:w="166"/>
        <w:gridCol w:w="146"/>
        <w:gridCol w:w="239"/>
        <w:gridCol w:w="770"/>
        <w:gridCol w:w="196"/>
      </w:tblGrid>
      <w:tr>
        <w:trPr/>
        <w:tc>
          <w:tcPr>
            <w:tcW w:w="2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 and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 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assets and their estimated useful lives as of September 30, 2025 are as follows (dollars in thousands):</w:t>
      </w:r>
    </w:p>
    <w:p>
      <w:pPr>
        <w:pStyle w:val="TextBody"/>
        <w:bidi w:val="0"/>
        <w:jc w:val="both"/>
        <w:rPr/>
      </w:pPr>
      <w:r>
        <w:rPr/>
        <w:t> </w:t>
      </w:r>
    </w:p>
    <w:tbl>
      <w:tblPr>
        <w:tblW w:w="7377" w:type="dxa"/>
        <w:jc w:val="left"/>
        <w:tblInd w:w="0" w:type="dxa"/>
        <w:tblLayout w:type="fixed"/>
        <w:tblCellMar>
          <w:top w:w="28" w:type="dxa"/>
          <w:left w:w="28" w:type="dxa"/>
          <w:bottom w:w="28" w:type="dxa"/>
          <w:right w:w="28" w:type="dxa"/>
        </w:tblCellMar>
      </w:tblPr>
      <w:tblGrid>
        <w:gridCol w:w="2101"/>
        <w:gridCol w:w="146"/>
        <w:gridCol w:w="1276"/>
        <w:gridCol w:w="146"/>
        <w:gridCol w:w="211"/>
        <w:gridCol w:w="571"/>
        <w:gridCol w:w="146"/>
        <w:gridCol w:w="146"/>
        <w:gridCol w:w="312"/>
        <w:gridCol w:w="934"/>
        <w:gridCol w:w="166"/>
        <w:gridCol w:w="146"/>
        <w:gridCol w:w="239"/>
        <w:gridCol w:w="646"/>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and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and 7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and 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each of the three months ended September 30, 2025 and 2024, we recorded $0.1 million of intangible assets amortization expense. For each of the nine months ended September 30, 2025 and 2024, we recorded $0.3 million of intangible assets amortization expense. We expect to record amortization expense for the remainder of 2025 and each subsequent year and thereafter as follows (in thousands):</w:t>
      </w:r>
    </w:p>
    <w:p>
      <w:pPr>
        <w:pStyle w:val="TextBody"/>
        <w:bidi w:val="0"/>
        <w:jc w:val="both"/>
        <w:rPr/>
      </w:pPr>
      <w:r>
        <w:rPr/>
        <w:t> </w:t>
      </w:r>
    </w:p>
    <w:tbl>
      <w:tblPr>
        <w:tblW w:w="2065" w:type="dxa"/>
        <w:jc w:val="left"/>
        <w:tblInd w:w="0" w:type="dxa"/>
        <w:tblLayout w:type="fixed"/>
        <w:tblCellMar>
          <w:top w:w="28" w:type="dxa"/>
          <w:left w:w="28" w:type="dxa"/>
          <w:bottom w:w="28" w:type="dxa"/>
          <w:right w:w="28" w:type="dxa"/>
        </w:tblCellMar>
      </w:tblPr>
      <w:tblGrid>
        <w:gridCol w:w="946"/>
        <w:gridCol w:w="146"/>
        <w:gridCol w:w="211"/>
        <w:gridCol w:w="57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Computation of 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earnings per share is computed by dividing net income or loss by the weighted average number of common 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 All outstanding common stock equivalents were not included in the per share calculation for diluted earnings per share where we had a net loss, and the effect of their inclusion would be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 Equity and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stock-based compensation expenses included in our unaudited consolidated statements of operations and comprehensive loss (in thousands):</w:t>
      </w:r>
    </w:p>
    <w:p>
      <w:pPr>
        <w:pStyle w:val="TextBody"/>
        <w:bidi w:val="0"/>
        <w:jc w:val="both"/>
        <w:rPr/>
      </w:pPr>
      <w:r>
        <w:rPr/>
        <w:t> </w:t>
      </w:r>
    </w:p>
    <w:tbl>
      <w:tblPr>
        <w:tblW w:w="7258" w:type="dxa"/>
        <w:jc w:val="left"/>
        <w:tblInd w:w="0" w:type="dxa"/>
        <w:tblLayout w:type="fixed"/>
        <w:tblCellMar>
          <w:top w:w="28" w:type="dxa"/>
          <w:left w:w="28" w:type="dxa"/>
          <w:bottom w:w="28" w:type="dxa"/>
          <w:right w:w="28" w:type="dxa"/>
        </w:tblCellMar>
      </w:tblPr>
      <w:tblGrid>
        <w:gridCol w:w="3001"/>
        <w:gridCol w:w="146"/>
        <w:gridCol w:w="254"/>
        <w:gridCol w:w="507"/>
        <w:gridCol w:w="176"/>
        <w:gridCol w:w="176"/>
        <w:gridCol w:w="254"/>
        <w:gridCol w:w="507"/>
        <w:gridCol w:w="146"/>
        <w:gridCol w:w="146"/>
        <w:gridCol w:w="238"/>
        <w:gridCol w:w="475"/>
        <w:gridCol w:w="164"/>
        <w:gridCol w:w="164"/>
        <w:gridCol w:w="238"/>
        <w:gridCol w:w="475"/>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Stock Options - </w:t>
      </w:r>
      <w:r>
        <w:rPr>
          <w:rFonts w:ascii="Times New Roman" w:hAnsi="Times New Roman"/>
          <w:color w:val="000000"/>
          <w:sz w:val="20"/>
        </w:rPr>
        <w:t xml:space="preserve">On January 17, 2024, our stockholders approved the Aware Inc. 2023 Equity and Incentive Plan (the “2023 Plan”). Following approval of the 2023 Plan, we ceased making awards under our previous 2001 Nonqualified Stock Plan (as amended, the “2001 Plan”). </w:t>
      </w:r>
    </w:p>
    <w:p>
      <w:pPr>
        <w:pStyle w:val="TextBody"/>
        <w:bidi w:val="0"/>
        <w:jc w:val="both"/>
        <w:rPr>
          <w:rFonts w:ascii="Times New Roman" w:hAnsi="Times New Roman"/>
          <w:color w:val="000000"/>
          <w:sz w:val="20"/>
        </w:rPr>
      </w:pPr>
      <w:r>
        <w:rPr>
          <w:rFonts w:ascii="Times New Roman" w:hAnsi="Times New Roman"/>
          <w:color w:val="000000"/>
          <w:sz w:val="20"/>
        </w:rPr>
        <w:t xml:space="preserve">Also on January 17, 2024, our stockholders approved a stock option exchange program (the “Exchange Offer”) pursuant to which eligible employees, primarily consisting of our executive officers and senior management, were able to exchange certain stock options (the “Eligible Options”) for replacement stock options with modified terms (the “New Options”) as described below. We commenced the Exchange Offer on January 19,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Exchange Offer expired on February 20, 2024. Pursuant to the Exchange Offer, nine employees elected to exchange their Eligible Options, and we accepted for cancellation Eligible Options to purchase an aggregate of 2,180,000 shares of common stock, representing approximately 96% of the total shares of common stock underlying the Eligible Options. Following the expiration of the Exchange Offer, on February 20, 2024, we granted New Options to purchase 933,073 shares of Common Stock, pursuant to the terms of the Exchange Offer and our 2023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exercise price per share of the New Options granted pursuant to the Exchange Offer was $2.21 per share. Each New Option will vest and become exercisable, with respect to 50% of the shares of common stock underlying such New Option on the first anniversary of the grant date and, with respect to the remaining shares of common stock underlying such New Option, in twelve equal monthly installments thereafter, subject to the continuous service of the holder. The other terms and conditions of the New Options will be governed by the terms and conditions of the 2023 Plan and the nonstatutory stock option agreements entered into thereunder. </w:t>
      </w:r>
    </w:p>
    <w:p>
      <w:pPr>
        <w:pStyle w:val="TextBody"/>
        <w:bidi w:val="0"/>
        <w:jc w:val="both"/>
        <w:rPr>
          <w:rFonts w:ascii="Times New Roman" w:hAnsi="Times New Roman"/>
          <w:color w:val="000000"/>
          <w:sz w:val="20"/>
        </w:rPr>
      </w:pPr>
      <w:r>
        <w:rPr>
          <w:rFonts w:ascii="Times New Roman" w:hAnsi="Times New Roman"/>
          <w:color w:val="000000"/>
          <w:sz w:val="20"/>
        </w:rPr>
        <w:t>There was no incremental expense for the New Options as calculated using the Black-Scholes option pricing model. The unamortized expense remaining on the Eligible Options, as of the modification date, will be recognized over the new vesting schedule.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nine months ended September 30, 2025, the Company granted stock options to purchase an aggregate of 25,000 and 1,538,322 shares of common stock under the 2023 Equity and Incentive Plan, respectively and 4,000 stock options were excised during the three and nine months ended September 30, 2025. No stock options were granted during the corresponding periods in 2024, and no stock options were exercised in the three and nine months ended September 2024. Of the total stock options granted in the three months and nine months ended September 30, 2025; 25,000 and 700,965, respectively, were granted as incentive stock options. The remaining stock options granted in the three and nine months ended September 30, 2025 were granted as non-qualified stock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stock options granting during the nine months ended September 30, 2025 included 180,000 incentive stock options to three recently hired executive officers and 1,060,197 options, comprising both incentive and non-qualified options granted to Ajay Amlani, in connection with his appointment as the Company’s Chief Executive Officer. Within the grant to Mr. Amlani, 848,157 options are subject to time-based vesting, with 25 percent vesting on the one-year anniversary of the grant date and the remaining 75 percent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vesting in 36 equal monthly installments thereafter, subject to Mr. Amlani's continued service. The remaining 212,040 options granted to Mr. Amlani are performance-based and divided equally between two tranches. The first tranche is eligible to vest if certain minimum bookings growth for 2025 thresholds are met, with incremental vesting for higher levels of growth up to a maximum threshold. The second tranche is subject to similar performance conditions based on year-over-year bookings growth in 2026. In both cases, Mr. Amlani must remain in service through December 31 of the applicable performance year for any shares to vest. Expense recognition for the option grant is based on the fair value on the grant date and reflects management’s assessment of the probability of achieving the specified performance conditions. Expense is recognized over the requisite service period and is adjusted for changes in the probability of achievement, as necessary.</w:t>
      </w:r>
    </w:p>
    <w:p>
      <w:pPr>
        <w:pStyle w:val="TextBody"/>
        <w:bidi w:val="0"/>
        <w:spacing w:before="200" w:after="283"/>
        <w:jc w:val="both"/>
        <w:rPr>
          <w:rFonts w:ascii="Times New Roman" w:hAnsi="Times New Roman"/>
          <w:sz w:val="20"/>
        </w:rPr>
      </w:pPr>
      <w:r>
        <w:rPr>
          <w:rFonts w:ascii="Times New Roman" w:hAnsi="Times New Roman"/>
          <w:i/>
          <w:color w:val="000000"/>
          <w:sz w:val="20"/>
        </w:rPr>
        <w:t>Restricted Stock Units -</w:t>
      </w:r>
      <w:r>
        <w:rPr>
          <w:rFonts w:ascii="Times New Roman" w:hAnsi="Times New Roman"/>
          <w:color w:val="000000"/>
          <w:sz w:val="20"/>
        </w:rPr>
        <w:t xml:space="preserve"> The 2023 Plan permits us to grant restricted stock units to our directors, officers, and employees. Upon vesting, each restricted stock unit entitles the recipient to receive a number of shares of common stock as set forth in the relevant restricted stock unit agreement. Stock-based compensation expense for restricted stock units is determined based on the fair market value of our stock on the date of grant, provided the number of shares in the grant is fixed on the grant date.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and nine months ended September 30, 2025 we granted 0 and 771,184 restricted stock units, respectively, to directors, officers, and employees.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 these restricted stock units, 122,495 shares vested shortly after June 30, 2025, 127,213 are scheduled to vest shortly after December 31, 2025. In addition, 166,229 restricted stock units were granted on March 13, 2025 to Mr. Amlani in connection with an amendment to his employment agreement. Also, 354,600 restricted stock units were granted on June 13, 2025 to Mr. Amlani in connection with a further amendment to his employment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March 13, 2025 amendment provides that 80% of Mr. Amlani's base salary for his service as our chief executive officer for the period from March 16, 2025 through December 31, 2025 will be paid in restricted stock units. The award represents the right to receive 166,229 shares and vests in nine equal monthly installments beginning on April 16, 2025 and continuing on the 16th of each month through December 16, 2025. All awards are subject to Mr. Amlani's continued service through the applicable vesting 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June 13, 2025 amendment provides that 75% of Mr. Amlani's base salary for his service as our chief executive officer for the period from January 1, 2026 through December 31, 2027 will be paid in restricted stock units. The award represents the right to receive 354,600 shares and will vest in twenty four equal monthly installments beginning on January 16, 2026 and continuing on the 16th of each month through December 16, 2027. All awards are subject to Mr. Amlani's continued service through the applicable vesting dates.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restricted stock units were forfeited during the three or nine months ended September 30, 2025.</w:t>
      </w:r>
    </w:p>
    <w:p>
      <w:pPr>
        <w:pStyle w:val="TextBody"/>
        <w:bidi w:val="0"/>
        <w:spacing w:before="200" w:after="283"/>
        <w:jc w:val="both"/>
        <w:rPr>
          <w:rFonts w:ascii="Times New Roman" w:hAnsi="Times New Roman"/>
          <w:sz w:val="20"/>
        </w:rPr>
      </w:pPr>
      <w:r>
        <w:rPr>
          <w:rFonts w:ascii="Times New Roman" w:hAnsi="Times New Roman"/>
          <w:i/>
          <w:color w:val="000000"/>
          <w:sz w:val="20"/>
        </w:rPr>
        <w:t>Share Purchases</w:t>
      </w:r>
      <w:r>
        <w:rPr>
          <w:rFonts w:ascii="Times New Roman" w:hAnsi="Times New Roman"/>
          <w:color w:val="000000"/>
          <w:sz w:val="20"/>
        </w:rPr>
        <w:t xml:space="preserve"> - On March 1, 2022, our Board of Directors authorized a new stock repurchase program pursuant to which we may purchase up to $10.0 million of our common stock. On November 30, 2023, our Board of Directors extended the program through December 31, 2025. As of September 30, 2025 we have repurchased $2.1 million of our common stock pursuant to this program. During the three months ended September 30, 2025 and 2024 we did not purchase any shares of common stock. During the nine months ended September 30, 2025 and 2024 we purchased 75,457 and 35 shares of common stock, respectively. The program does not obligate us to acquire any particular amount of common stock and the program may be modified or suspended at any time at our Board of Directors' discretion.</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September 30, 2025 and 2024, we recorded an income tax provision of $5,000 and $15,000, respectively. During the nine months ended September 30, 2025 and 2024, we recorded an income tax provision of $38,000 and $54,000,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evaluated the positive and negative evidence bearing upon our ability to realize our deferred tax assets, which primarily consist of net operating loss carryforwards and research and development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credits. We considered the history of cumulative net losses, estimated future taxable income and prudent and feasible tax planning strategies and we have concluded that it is more likely than not that we will not realize the benefits of our deferred tax assets. As a result, as of September 30, 2025 and December 31, 2024, we have a full valuation allowance recorded against our net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item_2_managements_discussion_analysis_"/>
      <w:bookmarkEnd w:id="9"/>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Cautionary Statement for Purposes of the “Safe Harbor” Provisions of the Private Securities Litigation Reform Act of 1995</w:t>
      </w:r>
    </w:p>
    <w:p>
      <w:pPr>
        <w:pStyle w:val="TextBody"/>
        <w:bidi w:val="0"/>
        <w:spacing w:before="200" w:after="283"/>
        <w:jc w:val="both"/>
        <w:rPr>
          <w:rFonts w:ascii="Times New Roman" w:hAnsi="Times New Roman"/>
          <w:sz w:val="20"/>
        </w:rPr>
      </w:pPr>
      <w:r>
        <w:rPr>
          <w:rFonts w:ascii="Times New Roman" w:hAnsi="Times New Roman"/>
          <w:i/>
          <w:color w:val="000000"/>
          <w:sz w:val="20"/>
        </w:rPr>
        <w:t>Some of the information in this Quarterly Report on Form 10-Q contains forward</w:t>
        <w:noBreakHyphen/>
        <w:t>looking statements that involve substantial risks and uncertainties. You can identify these statements by forward</w:t>
        <w:noBreakHyphen/>
        <w:t>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w:t>
        <w:noBreakHyphen/>
        <w:t>looking” information. However, we may not be able to predict future events accurately. The risk factors listed in this Quarterly Report on Form 10-Q and our Annual Report on Form 10-K for the year ended December 31, 2024, as well as any cautionary language in this Quarterly Report on Form 10-Q, provide examples of risks, uncertainties and events that may cause our actual results to differ materially from the expectations we describe in our forward</w:t>
        <w:noBreakHyphen/>
        <w:t>looking statements. You should be aware that the occurrence of any of the events described in these risk factors and elsewhere in this Quarterly Report on Form 10-Q could materially and adversely affect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color w:val="000000"/>
          <w:sz w:val="20"/>
        </w:rPr>
        <w:t>Summary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 user customers. We also derive a portion of our revenue from the sale of imaging software licenses to OEMs and systems integrators that incorporate our software into medical imaging products and medical systems.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October 30, 2024, we announced that Robert Eckel, our Chief Executive Officer and a member of our Board of Directors, would resign from these positions effective December 31, 2024. Following this announcement, we retained an executive search firm and conducted an extensive search for his successor. As a result of that process, on February 3, 2025, Ajay Amlani was appointed Chief Executive Officer and a member of our Board of Directors.</w:t>
      </w:r>
    </w:p>
    <w:p>
      <w:pPr>
        <w:pStyle w:val="TextBody"/>
        <w:bidi w:val="0"/>
        <w:jc w:val="both"/>
        <w:rPr>
          <w:rFonts w:ascii="Times New Roman" w:hAnsi="Times New Roman"/>
          <w:b/>
          <w:color w:val="000000"/>
          <w:sz w:val="20"/>
        </w:rPr>
      </w:pPr>
      <w:r>
        <w:rPr>
          <w:rFonts w:ascii="Times New Roman" w:hAnsi="Times New Roman"/>
          <w:b/>
          <w:color w:val="000000"/>
          <w:sz w:val="20"/>
        </w:rPr>
        <w:t>Summary of Financial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use revenue and results of operations to summarize financial results as we believe these measurements are the most meaningful way to understand our operating performance.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and operating loss for the three months ended September 30, 2025 were $5.1 million and $1.3 million, respectively. These results compared to revenue of $3.8 million and operating loss of $1.5 million for the three months ended September 30, 2024. The increase in revenue was primarily due to a $1.4 million increase in software license revenue, which was partially offset by a $0.2 million decrease in services and other revenue. The decrease in operating loss was primarily due to the $1.3 million increase in revenue and partial offset by $0.4 million in operating expenses resulting from additional headcount in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and operating loss for the nine months ended September 30, 2025 were $12.6 million and $5.1 million, respectively. These results compared to revenue of $12.6 million and operating loss of $4.1 million for the nine months ended September 30, 2024. The changes to revenue was primarily due to a $0.2 million increase in software license revenue, $0.1 million increase in software maintenance and partially offset by $0.3 million decrease in services and other revenue. The decrease in operating loss was primarily due to $1.0 million increase in operating expenses resulting from additional headcount in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These and all other financial results are discussed in more detail in the results of operations section that follows.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Software licenses.</w:t>
      </w:r>
      <w:r>
        <w:rPr>
          <w:rFonts w:ascii="Times New Roman" w:hAnsi="Times New Roman"/>
          <w:color w:val="000000"/>
          <w:sz w:val="20"/>
        </w:rPr>
        <w:t xml:space="preserve"> Software licenses consist of revenue from the sale of biometrics and imaging software products. Sales of software products depend on our ability to win proposals to supply software for biometrics systems projects either directly to end user customers or indirectly through channel partners.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Software license revenue increased 115% from $1.2 million in the three months ended September 30, 2024 to $2.5 million for the three months ended September 30, 2025. As a percentage of total revenue, software license revenue increased from 31% in the third quarter of 2024 to 49% in the current year quarter. The $1.4 million increase in software license revenue was due primarily to an increase in perpetual licenses sales due to an increase in one-time license deals in the current quarter.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Software license revenue increased 2% from $5.1 million in the nine months ended September 30, 2024 to $5.3 million for the nine months ended September 30, 2025. As a percentage of total revenue, software license revenue increased from 41% in the nine months ended September 30, 2024 to 42% in the nine months ended September 30, 2025. The $0.2 million increase in software license revenue was due primarily to an increase in perpetual licenses sales.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Software license sales have historically fluctuated, and we expect software license revenue to continue to fluctuate since these sales are based on the timing of projects with our customers and partners.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market strategy is to continue to focus on our legacy government biometrics markets and expand into new commercial biometrics markets. We are unable to predict future revenue from commercial markets as these are emerging markets. </w:t>
      </w:r>
    </w:p>
    <w:p>
      <w:pPr>
        <w:pStyle w:val="TextBody"/>
        <w:bidi w:val="0"/>
        <w:spacing w:before="200" w:after="283"/>
        <w:jc w:val="both"/>
        <w:rPr>
          <w:rFonts w:ascii="Times New Roman" w:hAnsi="Times New Roman"/>
          <w:sz w:val="20"/>
        </w:rPr>
      </w:pPr>
      <w:r>
        <w:rPr>
          <w:rFonts w:ascii="Times New Roman" w:hAnsi="Times New Roman"/>
          <w:b/>
          <w:i/>
          <w:color w:val="000000"/>
          <w:sz w:val="20"/>
        </w:rPr>
        <w:t>Software maintenance</w:t>
      </w:r>
      <w:r>
        <w:rPr>
          <w:rFonts w:ascii="Times New Roman" w:hAnsi="Times New Roman"/>
          <w:color w:val="000000"/>
          <w:sz w:val="20"/>
        </w:rPr>
        <w:t>. Software maintenance consists of revenue from the sale of software maintenance contracts. Software maintenance contracts entitle customers to receive software support and software updates, if and when they become available, during the term of the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Software maintenance increased 5% from $2.3 million in the three months ended September 30, 2024 to $2.4 million in the three months ended September 30, 2025 and 2024. As a percentage of total revenue, software maintenance revenue decreased from 59% in the third quarter of 2024 to 46% in the current year third quarter.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Software maintenance revenue increased 2% from $6.6 million in the nine months ended September 30, 2024 to $6.7 million for the nine months ended September 30, 2025. As a percentage of total revenue, software maintenance revenue increased from 52% in the nine months ended September 30, 2024 to 53% in the current year period. </w:t>
      </w:r>
    </w:p>
    <w:p>
      <w:pPr>
        <w:pStyle w:val="TextBody"/>
        <w:bidi w:val="0"/>
        <w:spacing w:before="200" w:after="283"/>
        <w:jc w:val="both"/>
        <w:rPr>
          <w:rFonts w:ascii="Times New Roman" w:hAnsi="Times New Roman"/>
          <w:sz w:val="20"/>
        </w:rPr>
      </w:pPr>
      <w:r>
        <w:rPr>
          <w:rFonts w:ascii="Times New Roman" w:hAnsi="Times New Roman"/>
          <w:b/>
          <w:i/>
          <w:color w:val="000000"/>
          <w:sz w:val="20"/>
        </w:rPr>
        <w:t>Services and other revenue</w:t>
      </w:r>
      <w:r>
        <w:rPr>
          <w:rFonts w:ascii="Times New Roman" w:hAnsi="Times New Roman"/>
          <w:i/>
          <w:color w:val="000000"/>
          <w:sz w:val="20"/>
        </w:rPr>
        <w:t xml:space="preserve">. </w:t>
      </w:r>
      <w:r>
        <w:rPr>
          <w:rFonts w:ascii="Times New Roman" w:hAnsi="Times New Roman"/>
          <w:color w:val="000000"/>
          <w:sz w:val="20"/>
        </w:rPr>
        <w:t xml:space="preserve">Services revenue consists of fees we charge to perform software development, integration, installation, and customization services. Similar to software license revenue, services revenue depends on our ability to win biometrics systems projects either directly with end user customers or in conjunction with channel partners. Other revenue consists of hardware fees that are included with some of our software 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Services and other revenue decreased 45% from $0.4 million in the three months ended September 30, 2024 to $0.2 million in the three months ended September 30, 2025. As a percentage of total revenue, services and other revenue decreased from 11% in the three months ended September 30, 2024 to 5% in the current year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Services and other revenue decreased 27% from $0.9 million in the nine months ended September 30, 2024 to $0.6 million in the nine months ended September 30, 2025. As a percentage of total revenue, services and other revenue decreased from 7% in the nine months ended September 30, 2024 to 5% in the current year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Services and other revenue fluctuate dependent on when we commence new projects and when we complete projects that were started in previous periods.</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Cost of revenue. </w:t>
      </w:r>
      <w:r>
        <w:rPr>
          <w:rFonts w:ascii="Times New Roman" w:hAnsi="Times New Roman"/>
          <w:color w:val="000000"/>
          <w:sz w:val="20"/>
        </w:rPr>
        <w:t>Cost of revenue consists primarily of engineering costs to perform customer services projects, amortization of intangible assets related to acquisitions, and other third-party costs that are included with some of our software licenses. Such costs primarily include: i) engineering salaries, stock-based compensation, fringe benefits, and facilities; ii) engineering consultants and contractors; iii) software license fees; and iv) hardware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Cost of revenue increased 71% from $0.3 million in the three months ended September 30, 2024 to $0.5 million in the three months ended September 30, 2025. Cost revenue as a percentage of total revenue increased from 7% in the third quarter of 2024 to 10% in the current year third quarter. The $0.2 million increase was the result of increased software license costs.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Cost of revenue increased 28% from $0.8 million in the nine months ended September 30, 2024 to $1.1 million in the nine months ended September 30, 2025. Cost of revenue as a percentage of total revenue increased from 6% in the nine months ended September 30, 2024 to 9% in the current year period. The $0.3 million increase was the result of increased software license costs.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months ended September 30, 2025 cost of revenue was composed of $0.3 million for software license and hardware costs, $0.1 million of engineering costs to perform customer services, and $0.1 million of amortization of intangible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nine months ended September 30, 2025 cost of revenue was composed of $0.5 million for software license and hardware costs, $0.3 million of engineering costs to perform customer services, and $0.3 million of amortization of intangible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margins on revenue are a function of: i) the nature of the projects; ii) the level of engineering difficulty and labor hours required to complete project tasks; iii) how much we were able to charge; and iv) product mix. We expect that gross margins on services and other revenue will continue to fluctuate in future periods based on the nature, complexity, and pricing of future projects and product mix.</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Research and development expense. </w:t>
      </w:r>
      <w:r>
        <w:rPr>
          <w:rFonts w:ascii="Times New Roman" w:hAnsi="Times New Roman"/>
          <w:color w:val="000000"/>
          <w:sz w:val="20"/>
        </w:rPr>
        <w:t>Research and development expense consists of costs for: i) engineering personnel, including salaries, stock-based 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other revenue, and are not included in research and development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classification of total engineering costs to research and development expense and engineering costs to perform customer services included in cost of revenue was (in thousands):</w:t>
      </w:r>
    </w:p>
    <w:p>
      <w:pPr>
        <w:pStyle w:val="TextBody"/>
        <w:bidi w:val="0"/>
        <w:jc w:val="both"/>
        <w:rPr/>
      </w:pPr>
      <w:r>
        <w:rPr/>
        <w:t> </w:t>
      </w:r>
    </w:p>
    <w:tbl>
      <w:tblPr>
        <w:tblW w:w="8099" w:type="dxa"/>
        <w:jc w:val="left"/>
        <w:tblInd w:w="0" w:type="dxa"/>
        <w:tblLayout w:type="fixed"/>
        <w:tblCellMar>
          <w:top w:w="28" w:type="dxa"/>
          <w:left w:w="28" w:type="dxa"/>
          <w:bottom w:w="28" w:type="dxa"/>
          <w:right w:w="28" w:type="dxa"/>
        </w:tblCellMar>
      </w:tblPr>
      <w:tblGrid>
        <w:gridCol w:w="3856"/>
        <w:gridCol w:w="146"/>
        <w:gridCol w:w="213"/>
        <w:gridCol w:w="577"/>
        <w:gridCol w:w="147"/>
        <w:gridCol w:w="147"/>
        <w:gridCol w:w="213"/>
        <w:gridCol w:w="577"/>
        <w:gridCol w:w="146"/>
        <w:gridCol w:w="214"/>
        <w:gridCol w:w="581"/>
        <w:gridCol w:w="148"/>
        <w:gridCol w:w="148"/>
        <w:gridCol w:w="214"/>
        <w:gridCol w:w="581"/>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costs allocated to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engineering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engineering costs increased 13% from $2.0 million in the three months ended September 30, 2024 to $2.2 million in the three months ended September 30, 2025. As a percentage of total revenue, total engineering costs decreased from 51% in the three months ended September 30, 2024 to 43% in the same current year quarter.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engineering costs increased 1% from $6.2 million in the nine months ended September 30, 2024 to $6.3 million in the nine months ended September 30, 2025. As a percentage of total revenue, total engineering costs decreased from 50% in the nine months ended September 30, 2024 to 49% in the same current year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spending increase for the three and nine ended September 30, 2025 compared to the same prior year period was primarily due to increased headcount 2025. We anticipate engineering expenses to increase during the remainder of 2025 as we ramp up investment to support strategic product development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Selling and marketing expense. </w:t>
      </w:r>
      <w:r>
        <w:rPr>
          <w:rFonts w:ascii="Times New Roman" w:hAnsi="Times New Roman"/>
          <w:color w:val="000000"/>
          <w:sz w:val="20"/>
        </w:rPr>
        <w:t>Selling and marketing expense primarily consists of costs for: i) sales and marketing personnel, including salaries, sales commissions, stock-based compensation, fringe benefits, travel, and facilities; and ii) advertising and promotion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Selling and marketing expense increased 13% from $1.9 million in the three months ended September 30, 2024 to $2.1 million in the same three month period of 2025. As a percentage of total revenue, selling and marketing expense decreased from 48% in the third quarter of 2024 to 41% in the corresponding period in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Selling and marketing expense decreased 2% from $5.9 million in the nine months ended September 30, 2024 to $5.7 million in the same nine month period of 2025. As a percentage of total revenue, selling and marketing expense decreased from 46% in the nine months ended September 30, 2024 to 45% in the corresponding period in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spending increases for the three months ended September 30, 2025, compared to the same prior year was primarily due to one time savings for the three months ended September 30, 2024 related to the reversal of accrued bonus expense as a result of the departure of our chief revenue officer in September 2024. The spending decreases for the nine months ended June 30, 2025, compared to the same prior year period was primarily due to lower headcount including the departure of our chief revenue officer in 2024 who was not replaced until March 2025 and the departure of our chief product officer in 2024.</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expect selling and marketing expense to increase in future periods as we continue to invest in revenue-generating activities. This includes plans to backfill the chief product officer position and additional hires across our sales organization to support pipeline growth and capitalize on market opportunities.</w:t>
      </w:r>
    </w:p>
    <w:p>
      <w:pPr>
        <w:pStyle w:val="TextBody"/>
        <w:bidi w:val="0"/>
        <w:jc w:val="both"/>
        <w:rPr>
          <w:rFonts w:ascii="Times New Roman" w:hAnsi="Times New Roman"/>
          <w:sz w:val="20"/>
        </w:rPr>
      </w:pPr>
      <w:r>
        <w:rPr>
          <w:rFonts w:ascii="Times New Roman" w:hAnsi="Times New Roman"/>
          <w:b/>
          <w:i/>
          <w:color w:val="000000"/>
          <w:sz w:val="20"/>
        </w:rPr>
        <w:t xml:space="preserve">General and administrative expense. </w:t>
      </w:r>
      <w:r>
        <w:rPr>
          <w:rFonts w:ascii="Times New Roman" w:hAnsi="Times New Roman"/>
          <w:color w:val="000000"/>
          <w:sz w:val="20"/>
        </w:rPr>
        <w:t>General and administrative expense consists primarily of costs for: i) officers, directors and administrative 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General and administrative expense increased 29% from $1.3 million for the three months ended September 30, 2024 to $1.7 million for the three months ended September 30, 2025. As a percentage of total revenue, general and administrative expense was 34% in the third quarter of 2024 and 33% in the corresponding period of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 increased 20% from $4.1 million for the nine months ended September 30, 2024 to $4.9 million for the nine months ended September 30, 2025. As a percentage of total revenue, general and administrative expense was 32% in the nine months ended September 30, 2024 and 40% in the corresponding period of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expense increase for the three months ended September 30, 2025 compared to the same prior year period was primarily due to the impact of an increase in stock compensation expense of $0.1 million, an increase in payroll-related expense of $0.1 million, and an increase in professional services fees of $0.1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expense increase for the nine months ended September 30, 2025 compared to the same prior year period was primarily due to the impact of a $0.1 million signing bonus paid to Mr. Amlani in connection with his appointment as our chief executive officer, an increase in compensation expense of $0.3 million, an increase in professional services fees of $0.2 million, and an increase in stock compensation expense of $0.2 million. Fluctuations in general and administrative expenses are expected depending on specific activities in a period. </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Interest Income. </w:t>
      </w:r>
      <w:r>
        <w:rPr>
          <w:rFonts w:ascii="Times New Roman" w:hAnsi="Times New Roman"/>
          <w:color w:val="000000"/>
          <w:sz w:val="20"/>
        </w:rPr>
        <w:t>Interest income was $0.2 million and $0.3 million in the three months ended September 30, 2025 and 2024, respectively. Interest income was $0.7 million and $0.9 million in the nine months ended September 30, 2025 and 2024, respectively. The decrease in interest income in each of the three and nine months ended September 30, 2025 was primarily the result of lower average cash balances during the current year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interest income to decrease slightly over the remainder of 2025 due to a lower projected average cash balance and lower interest rates.</w:t>
      </w:r>
    </w:p>
    <w:p>
      <w:pPr>
        <w:pStyle w:val="TextBody"/>
        <w:bidi w:val="0"/>
        <w:spacing w:before="20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Total income tax expense was $5 thousand and $15 thousand for the three months ended September 30, 2025 and 2024, respectively. Total income tax expense was $38 thousand and $54 thousand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nine months ended September 30, 2025 and 2024, respectively. The income tax expense relates to limitations on the usage of net operating loss carryforwards generated in years beginning after December 31, 2017.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September 30, 2025 and December 31, 2024, we recorded a full valuation allowance against our net deferred tax assets.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September 30, 2025, we had cash, cash equivalents and marketable securities of $22.5 million, which represented a decrease of $5.3 million from December 31, 2024. The decrease in cash, cash equivalents and marketable securities was primarily due to the impact of $6.4 million of cash used in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investing activities was $0.2 million in the first nine months of 2025, which primarily consisted of $0.1 million of net purchases of marketable securities and $45 thousand used for the purchase of fixed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by financing activities was $82 thousand in the first nine months of 2025, which primarily consisted of cash used to repurchase shares of our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cannot assure you that we will not require additional financing, or that such financing will be available to us, we believe that our cash and cash equivalents will be sufficient to fund our operations for at least the next twelve months from the date of this filing and to meet our known long-term cash requirements. Whether these resources are adequate to meet our liquidity needs beyond that period will depend on our future growth, operating results, and the investments needed to support our operations. If we require additional capital resources, we may utilize available funds or seek external financing, which may not be available on terms we find attractive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inflation has not had a material impact on our financial results. There can be no assurance, however, that inflation will not adversely affect our financial results in the future.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 to our Consolidated Financial Statements in Item 1.</w:t>
      </w:r>
    </w:p>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bookmarkStart w:id="10" w:name="item_controls_and_procedures"/>
      <w:bookmarkEnd w:id="10"/>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_or_information"/>
      <w:bookmarkEnd w:id="11"/>
      <w:r>
        <w:rPr>
          <w:rFonts w:ascii="Times New Roman" w:hAnsi="Times New Roman"/>
          <w:b/>
          <w:color w:val="000000"/>
          <w:sz w:val="20"/>
        </w:rPr>
        <w:t>PART II. OTHER INFORMATION</w:t>
      </w:r>
    </w:p>
    <w:p>
      <w:pPr>
        <w:pStyle w:val="TextBody"/>
        <w:bidi w:val="0"/>
        <w:spacing w:before="200" w:after="283"/>
        <w:jc w:val="left"/>
        <w:rPr>
          <w:rFonts w:ascii="Times New Roman" w:hAnsi="Times New Roman"/>
          <w:sz w:val="20"/>
        </w:rPr>
      </w:pPr>
      <w:bookmarkStart w:id="12" w:name="item_1_legal_proceedings"/>
      <w:bookmarkEnd w:id="12"/>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are involved in litigation incidental to the conduct of our business. We are not party to any lawsuit or proceeding that, in our opinion, is material to our business.</w:t>
      </w:r>
    </w:p>
    <w:p>
      <w:pPr>
        <w:pStyle w:val="TextBody"/>
        <w:bidi w:val="0"/>
        <w:spacing w:before="400" w:after="283"/>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Investing in our common stock involves a high degree of risk. Our Annual Report on Form 10-K for the year ended December 31, 2024 includes a detailed discussion of our risk factors under the heading “Part I, Item 1A—Risk Factors.” There have been no material changes from such risk factors during the three months ended September 30, 2025. You should consider carefully the risk factors discussed in our Annual Report on Form 10-K for the year ended December 31, 2024, and all other information contained in or incorporated by reference in this Quarterly Report on Form 10-Q before making an investment decision. If any of the risks discussed in the Annual Report on Form 10-K or herein actually occur, they may materially harm our business, financial condition, operating results, cash flows or growth prospects. As a result, the market price of our common stock could decline, and you could lose all or part of your investment. Additional risks and uncertainties that are not yet identified or that we think are immaterial may also materially harm our business, financial condition, operating results, cash flows or growth prospects and could result in a complete loss of your investment. </w:t>
      </w:r>
    </w:p>
    <w:p>
      <w:pPr>
        <w:pStyle w:val="TextBody"/>
        <w:bidi w:val="0"/>
        <w:spacing w:before="200" w:after="283"/>
        <w:jc w:val="both"/>
        <w:rPr>
          <w:rFonts w:ascii="Times New Roman" w:hAnsi="Times New Roman"/>
          <w:b/>
          <w:color w:val="000000"/>
          <w:sz w:val="20"/>
        </w:rPr>
      </w:pPr>
      <w:bookmarkStart w:id="14" w:name="item_2_unregistered_sales_equity_securi"/>
      <w:bookmarkEnd w:id="14"/>
      <w:r>
        <w:rPr>
          <w:rFonts w:ascii="Times New Roman" w:hAnsi="Times New Roman"/>
          <w:b/>
          <w:color w:val="000000"/>
          <w:sz w:val="20"/>
        </w:rPr>
        <w:t>ITEM 2: Unregistered Sales of Equity Securities, Use of Proceeds, and Issuer Purchases of Equity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November 30, 2023, we announced that our Board of Directors had approved the extension of our previously announced 2022 Repurchase Plan through December 31, 2025. The 2022 Repurchase Plan authorizes the Company to repurchase of up to $10,000,000 of our common stock from time to time. During the three months ended September 30, 2025 we did not purchase any shares under this plan.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2025 the remaining dollar value of shares that may be purchased under the plan is $7,860,376.</w:t>
      </w:r>
    </w:p>
    <w:p>
      <w:pPr>
        <w:pStyle w:val="TextBody"/>
        <w:bidi w:val="0"/>
        <w:spacing w:before="400" w:after="283"/>
        <w:jc w:val="left"/>
        <w:rPr>
          <w:rFonts w:ascii="Times New Roman" w:hAnsi="Times New Roman"/>
          <w:b/>
          <w:color w:val="000000"/>
          <w:sz w:val="20"/>
        </w:rPr>
      </w:pPr>
      <w:r>
        <w:rPr>
          <w:rFonts w:ascii="Times New Roman" w:hAnsi="Times New Roman"/>
          <w:b/>
          <w:color w:val="000000"/>
          <w:sz w:val="20"/>
        </w:rPr>
        <w:t>ITEM 3: Defaults Upon Senior Securities</w:t>
      </w:r>
    </w:p>
    <w:p>
      <w:pPr>
        <w:pStyle w:val="TextBody"/>
        <w:bidi w:val="0"/>
        <w:spacing w:before="4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400" w:after="283"/>
        <w:jc w:val="left"/>
        <w:rPr>
          <w:rFonts w:ascii="Times New Roman" w:hAnsi="Times New Roman"/>
          <w:b/>
          <w:color w:val="000000"/>
          <w:sz w:val="20"/>
        </w:rPr>
      </w:pPr>
      <w:r>
        <w:rPr>
          <w:rFonts w:ascii="Times New Roman" w:hAnsi="Times New Roman"/>
          <w:b/>
          <w:color w:val="000000"/>
          <w:sz w:val="20"/>
        </w:rPr>
        <w:t>ITEM 4: Mine Safety Disclosures</w:t>
      </w:r>
    </w:p>
    <w:p>
      <w:pPr>
        <w:pStyle w:val="TextBody"/>
        <w:bidi w:val="0"/>
        <w:spacing w:before="4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400" w:after="283"/>
        <w:jc w:val="left"/>
        <w:rPr>
          <w:rFonts w:ascii="Times New Roman" w:hAnsi="Times New Roman"/>
          <w:b/>
          <w:color w:val="000000"/>
          <w:sz w:val="20"/>
        </w:rPr>
      </w:pPr>
      <w:r>
        <w:rPr>
          <w:rFonts w:ascii="Times New Roman" w:hAnsi="Times New Roman"/>
          <w:b/>
          <w:color w:val="000000"/>
          <w:sz w:val="20"/>
        </w:rPr>
        <w:t>ITEM 5: Other Information</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September 30, 2025, no director or officer of the Company adopted, modified,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exhibits"/>
      <w:bookmarkEnd w:id="15"/>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2"/>
        <w:gridCol w:w="146"/>
        <w:gridCol w:w="9267"/>
      </w:tblGrid>
      <w:tr>
        <w:trPr/>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7" w:type="dxa"/>
            <w:tcBorders/>
            <w:vAlign w:val="center"/>
          </w:tcPr>
          <w:p>
            <w:pPr>
              <w:pStyle w:val="TableContents"/>
              <w:bidi w:val="0"/>
              <w:spacing w:before="0" w:after="283"/>
              <w:jc w:val="left"/>
              <w:rPr>
                <w:sz w:val="4"/>
                <w:szCs w:val="4"/>
              </w:rPr>
            </w:pPr>
            <w:r>
              <w:rPr>
                <w:sz w:val="4"/>
                <w:szCs w:val="4"/>
              </w:rPr>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Articles of Organization, as amended (filed as Exhibit 3.1 to the Company’s Form 10-K for the year ended December 31, 2008 and incorporated herein by reference).</w:t>
              </w:r>
            </w:hyperlink>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(filed as Exhibit 3.1 to the Company’s Form 8-K filed with the Securities and Exchange Commission on December 10, 2007 and incorporated herein by reference).</w:t>
              </w:r>
            </w:hyperlink>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hyperlink w:anchor="awre-ex31_1.htm">
              <w:r>
                <w:rPr>
                  <w:rStyle w:val="InternetLink"/>
                  <w:rFonts w:ascii="Times New Roman" w:hAnsi="Times New Roman"/>
                  <w:color w:val="0000FF"/>
                  <w:sz w:val="20"/>
                  <w:u w:val="single"/>
                </w:rPr>
                <w:t>Certification of Chief Executive Officer pursuant to Section 302 of the Sarbanes-Oxley Act of 2002.</w:t>
              </w:r>
            </w:hyperlink>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hyperlink w:anchor="awre-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hyperlink w:anchor="awre-ex32_1.htm">
              <w:r>
                <w:rPr>
                  <w:rStyle w:val="InternetLink"/>
                  <w:rFonts w:ascii="Times New Roman" w:hAnsi="Times New Roman"/>
                  <w:color w:val="0000FF"/>
                  <w:sz w:val="20"/>
                  <w:u w:val="single"/>
                </w:rPr>
                <w:t>Certification of Chief Executive Officer and Principal Financial Officer pursuant to Section 906 of the Sarbanes-Oxley Act of 2002.</w:t>
              </w:r>
            </w:hyperlink>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Exhibit 101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from Aware, Inc.’s Quarterly Report on Form 10-Q for the quarter ended September 30, 2025, formatted in iXBRL (Inline eXtensible Business Reporting Language), as follows: i) Consolidated Balance Sheets as of September 30, 2025 and December 31, 2024, ii) Consolidated Statements of Operations and Comprehensive Loss for the Three and Nine Months Ended September 30, 2025 and 2024 iii) Consolidated Statements of Cash Flows for the Nine Months Ended September 30, 2025 and 2024 iv) Consolidated Statements of Stockholders’ Equity for the Three and Nine Months Ended September 30, 2025 and 2024, and v) Notes to Consolidated Financial Statements.</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Document Set.</w:t>
            </w:r>
          </w:p>
        </w:tc>
      </w:tr>
      <w:tr>
        <w:trPr/>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signatures"/>
      <w:bookmarkEnd w:id="16"/>
      <w:r>
        <w:rPr>
          <w:rFonts w:ascii="Times New Roman" w:hAnsi="Times New Roman"/>
          <w:b/>
          <w:color w:val="000000"/>
          <w:sz w:val="20"/>
        </w:rPr>
        <w:t>SIGNATURES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556"/>
        <w:gridCol w:w="146"/>
        <w:gridCol w:w="1516"/>
        <w:gridCol w:w="146"/>
        <w:gridCol w:w="406"/>
        <w:gridCol w:w="146"/>
        <w:gridCol w:w="306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AWARE,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556"/>
        <w:gridCol w:w="146"/>
        <w:gridCol w:w="1516"/>
        <w:gridCol w:w="146"/>
        <w:gridCol w:w="406"/>
        <w:gridCol w:w="146"/>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K. Traverse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17" w:name="awre-ex31_1.htm"/>
      <w:bookmarkStart w:id="18" w:name="ksawreex31_1"/>
      <w:bookmarkEnd w:id="17"/>
      <w:bookmarkEnd w:id="18"/>
      <w:r>
        <w:rPr>
          <w:rFonts w:ascii="Times New Roman" w:hAnsi="Times New Roman"/>
          <w:color w:val="000000"/>
          <w:sz w:val="20"/>
        </w:rPr>
        <w:t>Exhibit 31.1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Ajay K. Amlani, Chief Executive Officer &amp; President of Aware, Inc.,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Aware,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18" w:type="dxa"/>
        <w:jc w:val="left"/>
        <w:tblInd w:w="0" w:type="dxa"/>
        <w:tblLayout w:type="fixed"/>
        <w:tblCellMar>
          <w:top w:w="28" w:type="dxa"/>
          <w:left w:w="28" w:type="dxa"/>
          <w:bottom w:w="28" w:type="dxa"/>
          <w:right w:w="28" w:type="dxa"/>
        </w:tblCellMar>
      </w:tblPr>
      <w:tblGrid>
        <w:gridCol w:w="2011"/>
        <w:gridCol w:w="146"/>
        <w:gridCol w:w="306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Ajay K. Amlani</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19" w:name="awre-ex31_2.htm"/>
      <w:bookmarkStart w:id="20" w:name="ksawreex31_2"/>
      <w:bookmarkEnd w:id="19"/>
      <w:bookmarkEnd w:id="20"/>
      <w:r>
        <w:rPr>
          <w:rFonts w:ascii="Times New Roman" w:hAnsi="Times New Roman"/>
          <w:color w:val="000000"/>
          <w:sz w:val="20"/>
        </w:rPr>
        <w:t>Exhibit 31.2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David K Traverse, Chief Financial Officer of Aware, Inc.,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Aware,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68" w:type="dxa"/>
        <w:jc w:val="left"/>
        <w:tblInd w:w="0" w:type="dxa"/>
        <w:tblLayout w:type="fixed"/>
        <w:tblCellMar>
          <w:top w:w="28" w:type="dxa"/>
          <w:left w:w="28" w:type="dxa"/>
          <w:bottom w:w="28" w:type="dxa"/>
          <w:right w:w="28" w:type="dxa"/>
        </w:tblCellMar>
      </w:tblPr>
      <w:tblGrid>
        <w:gridCol w:w="2011"/>
        <w:gridCol w:w="146"/>
        <w:gridCol w:w="201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K. Traverse</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1" w:name="awre-ex32_1.htm"/>
      <w:bookmarkStart w:id="22" w:name="ksawreex32_1"/>
      <w:bookmarkEnd w:id="21"/>
      <w:bookmarkEnd w:id="22"/>
      <w:r>
        <w:rPr>
          <w:rFonts w:ascii="Times New Roman" w:hAnsi="Times New Roman"/>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Aware, Inc. (the “Company”) for the quarter ended September 30, 2025,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88" w:type="dxa"/>
        <w:jc w:val="left"/>
        <w:tblInd w:w="0" w:type="dxa"/>
        <w:tblLayout w:type="fixed"/>
        <w:tblCellMar>
          <w:top w:w="28" w:type="dxa"/>
          <w:left w:w="28" w:type="dxa"/>
          <w:bottom w:w="28" w:type="dxa"/>
          <w:right w:w="28" w:type="dxa"/>
        </w:tblCellMar>
      </w:tblPr>
      <w:tblGrid>
        <w:gridCol w:w="3031"/>
        <w:gridCol w:w="146"/>
        <w:gridCol w:w="20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Ajay K. Amlani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K Traverse</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tbl>
      <w:tblPr>
        <w:tblW w:w="4198" w:type="dxa"/>
        <w:jc w:val="left"/>
        <w:tblInd w:w="0" w:type="dxa"/>
        <w:tblLayout w:type="fixed"/>
        <w:tblCellMar>
          <w:top w:w="28" w:type="dxa"/>
          <w:left w:w="28" w:type="dxa"/>
          <w:bottom w:w="28" w:type="dxa"/>
          <w:right w:w="28" w:type="dxa"/>
        </w:tblCellMar>
      </w:tblPr>
      <w:tblGrid>
        <w:gridCol w:w="2011"/>
        <w:gridCol w:w="146"/>
        <w:gridCol w:w="204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31, 2025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certification set forth above is being furnished as an exhibit solely pursuant to Section 906 of the Sarbanes-Oxley Act of 2002 and is not being filed as part of the Form 10-Q or as a separate disclosure document of the Company or the certifying officers.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015739/000118811209000293/ex3-1.htm" TargetMode="External"/><Relationship Id="rId3" Type="http://schemas.openxmlformats.org/officeDocument/2006/relationships/hyperlink" Target="https://www.sec.gov/Archives/edgar/data/0001015739/000118811207003562/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11490</Words>
  <Characters>62203</Characters>
  <CharactersWithSpaces>75144</CharactersWithSpaces>
  <Paragraphs>4332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