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24130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60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2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04-2911026</w:t>
            </w:r>
          </w:p>
        </w:tc>
        <w:tc>
          <w:tcPr>
            <w:tcW w:w="800" w:type="dxa"/>
            <w:vAlign w:val="bottom"/>
          </w:tcPr>
          <w:p>
            <w:pPr>
              <w:spacing w:after="0"/>
              <w:rPr>
                <w:sz w:val="20"/>
                <w:szCs w:val="20"/>
                <w:color w:val="auto"/>
              </w:rPr>
            </w:pPr>
          </w:p>
        </w:tc>
      </w:tr>
      <w:tr>
        <w:trPr>
          <w:trHeight w:val="188"/>
        </w:trPr>
        <w:tc>
          <w:tcPr>
            <w:tcW w:w="480" w:type="dxa"/>
            <w:vAlign w:val="bottom"/>
          </w:tcPr>
          <w:p>
            <w:pPr>
              <w:ind w:left="20"/>
              <w:spacing w:after="0" w:line="189" w:lineRule="exact"/>
              <w:rPr>
                <w:sz w:val="20"/>
                <w:szCs w:val="20"/>
                <w:color w:val="auto"/>
              </w:rPr>
            </w:pPr>
            <w:r>
              <w:rPr>
                <w:rFonts w:ascii="Arial" w:cs="Arial" w:eastAsia="Arial" w:hAnsi="Arial"/>
                <w:sz w:val="18"/>
                <w:szCs w:val="18"/>
                <w:color w:val="auto"/>
                <w:w w:val="91"/>
              </w:rPr>
              <w:t>(State</w:t>
            </w:r>
          </w:p>
        </w:tc>
        <w:tc>
          <w:tcPr>
            <w:tcW w:w="3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or Other Jurisdiction of</w:t>
            </w:r>
          </w:p>
        </w:tc>
        <w:tc>
          <w:tcPr>
            <w:tcW w:w="2220" w:type="dxa"/>
            <w:vAlign w:val="bottom"/>
          </w:tcPr>
          <w:p>
            <w:pPr>
              <w:ind w:left="1640"/>
              <w:spacing w:after="0" w:line="189" w:lineRule="exact"/>
              <w:rPr>
                <w:sz w:val="20"/>
                <w:szCs w:val="20"/>
                <w:color w:val="auto"/>
              </w:rPr>
            </w:pPr>
            <w:r>
              <w:rPr>
                <w:rFonts w:ascii="Arial" w:cs="Arial" w:eastAsia="Arial" w:hAnsi="Arial"/>
                <w:sz w:val="18"/>
                <w:szCs w:val="18"/>
                <w:color w:val="auto"/>
              </w:rPr>
              <w:t>(I.R.S.</w:t>
            </w:r>
          </w:p>
        </w:tc>
        <w:tc>
          <w:tcPr>
            <w:tcW w:w="2040" w:type="dxa"/>
            <w:vAlign w:val="bottom"/>
            <w:gridSpan w:val="2"/>
          </w:tcPr>
          <w:p>
            <w:pPr>
              <w:spacing w:after="0" w:line="189" w:lineRule="exact"/>
              <w:rPr>
                <w:sz w:val="20"/>
                <w:szCs w:val="20"/>
                <w:color w:val="auto"/>
              </w:rPr>
            </w:pPr>
            <w:r>
              <w:rPr>
                <w:rFonts w:ascii="Arial" w:cs="Arial" w:eastAsia="Arial" w:hAnsi="Arial"/>
                <w:sz w:val="18"/>
                <w:szCs w:val="18"/>
                <w:color w:val="auto"/>
                <w:w w:val="91"/>
              </w:rPr>
              <w:t>Employer Identification No.)</w:t>
            </w:r>
          </w:p>
        </w:tc>
      </w:tr>
      <w:tr>
        <w:trPr>
          <w:trHeight w:val="230"/>
        </w:trPr>
        <w:tc>
          <w:tcPr>
            <w:tcW w:w="3860" w:type="dxa"/>
            <w:vAlign w:val="bottom"/>
            <w:gridSpan w:val="3"/>
          </w:tcPr>
          <w:p>
            <w:pPr>
              <w:jc w:val="center"/>
              <w:ind w:right="1640"/>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October 23, 2015:</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b w:val="1"/>
                <w:bCs w:val="1"/>
                <w:color w:val="auto"/>
              </w:rPr>
              <w:t>Class</w:t>
            </w:r>
          </w:p>
        </w:tc>
        <w:tc>
          <w:tcPr>
            <w:tcW w:w="2400" w:type="dxa"/>
            <w:vAlign w:val="bottom"/>
          </w:tcPr>
          <w:p>
            <w:pPr>
              <w:spacing w:after="0"/>
              <w:rPr>
                <w:sz w:val="20"/>
                <w:szCs w:val="20"/>
                <w:color w:val="auto"/>
              </w:rPr>
            </w:pPr>
            <w:r>
              <w:rPr>
                <w:rFonts w:ascii="Arial" w:cs="Arial" w:eastAsia="Arial" w:hAnsi="Arial"/>
                <w:sz w:val="18"/>
                <w:szCs w:val="18"/>
                <w:b w:val="1"/>
                <w:bCs w:val="1"/>
                <w:color w:val="auto"/>
                <w:w w:val="89"/>
              </w:rPr>
              <w:t>Number of Shares Outstanding</w:t>
            </w:r>
          </w:p>
        </w:tc>
        <w:tc>
          <w:tcPr>
            <w:tcW w:w="2220" w:type="dxa"/>
            <w:vAlign w:val="bottom"/>
          </w:tcPr>
          <w:p>
            <w:pPr>
              <w:spacing w:after="0"/>
              <w:rPr>
                <w:sz w:val="20"/>
                <w:szCs w:val="20"/>
                <w:color w:val="auto"/>
              </w:rPr>
            </w:pPr>
          </w:p>
        </w:tc>
      </w:tr>
      <w:tr>
        <w:trPr>
          <w:trHeight w:val="230"/>
        </w:trPr>
        <w:tc>
          <w:tcPr>
            <w:tcW w:w="1340" w:type="dxa"/>
            <w:vAlign w:val="bottom"/>
          </w:tcPr>
          <w:p>
            <w:pPr>
              <w:ind w:left="520"/>
              <w:spacing w:after="0" w:line="203" w:lineRule="exact"/>
              <w:rPr>
                <w:sz w:val="20"/>
                <w:szCs w:val="20"/>
                <w:color w:val="auto"/>
              </w:rPr>
            </w:pPr>
            <w:r>
              <w:rPr>
                <w:rFonts w:ascii="Arial" w:cs="Arial" w:eastAsia="Arial" w:hAnsi="Arial"/>
                <w:sz w:val="18"/>
                <w:szCs w:val="18"/>
                <w:color w:val="auto"/>
              </w:rPr>
              <w:t>Common</w:t>
            </w: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Stock, par</w:t>
            </w:r>
          </w:p>
        </w:tc>
        <w:tc>
          <w:tcPr>
            <w:tcW w:w="4780" w:type="dxa"/>
            <w:vAlign w:val="bottom"/>
          </w:tcPr>
          <w:p>
            <w:pPr>
              <w:spacing w:after="0" w:line="203" w:lineRule="exact"/>
              <w:rPr>
                <w:sz w:val="20"/>
                <w:szCs w:val="20"/>
                <w:color w:val="auto"/>
              </w:rPr>
            </w:pPr>
            <w:r>
              <w:rPr>
                <w:rFonts w:ascii="Arial" w:cs="Arial" w:eastAsia="Arial" w:hAnsi="Arial"/>
                <w:sz w:val="18"/>
                <w:szCs w:val="18"/>
                <w:color w:val="auto"/>
              </w:rPr>
              <w:t>value $0.01 per share</w:t>
            </w:r>
          </w:p>
        </w:tc>
        <w:tc>
          <w:tcPr>
            <w:tcW w:w="24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22,929,901 shares</w:t>
            </w:r>
          </w:p>
        </w:tc>
        <w:tc>
          <w:tcPr>
            <w:tcW w:w="2220" w:type="dxa"/>
            <w:vAlign w:val="bottom"/>
          </w:tcPr>
          <w:p>
            <w:pPr>
              <w:spacing w:after="0"/>
              <w:rPr>
                <w:sz w:val="20"/>
                <w:szCs w:val="20"/>
                <w:color w:val="auto"/>
              </w:rPr>
            </w:pPr>
          </w:p>
        </w:tc>
      </w:tr>
      <w:tr>
        <w:trPr>
          <w:trHeight w:val="188"/>
        </w:trPr>
        <w:tc>
          <w:tcPr>
            <w:tcW w:w="1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8"/>
        </w:trPr>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648"/>
        </w:trPr>
        <w:tc>
          <w:tcPr>
            <w:tcW w:w="134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478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PART I</w:t>
            </w:r>
          </w:p>
        </w:tc>
        <w:tc>
          <w:tcPr>
            <w:tcW w:w="9900" w:type="dxa"/>
            <w:vAlign w:val="bottom"/>
            <w:tcBorders>
              <w:top w:val="single" w:sz="8" w:color="F0FFFF"/>
            </w:tcBorders>
            <w:shd w:val="clear" w:color="auto" w:fill="F0FFFF"/>
          </w:tcPr>
          <w:p>
            <w:pPr>
              <w:ind w:left="300"/>
              <w:spacing w:after="0"/>
              <w:rPr>
                <w:sz w:val="20"/>
                <w:szCs w:val="20"/>
                <w:color w:val="auto"/>
              </w:rPr>
            </w:pPr>
            <w:r>
              <w:rPr>
                <w:rFonts w:ascii="Arial" w:cs="Arial" w:eastAsia="Arial" w:hAnsi="Arial"/>
                <w:sz w:val="18"/>
                <w:szCs w:val="18"/>
                <w:color w:val="auto"/>
              </w:rPr>
              <w:t>FINANCIAL INFORMATION</w:t>
            </w:r>
          </w:p>
        </w:tc>
        <w:tc>
          <w:tcPr>
            <w:tcW w:w="560" w:type="dxa"/>
            <w:vAlign w:val="bottom"/>
            <w:tcBorders>
              <w:top w:val="single" w:sz="8" w:color="auto"/>
            </w:tcBorders>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1.</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Consolidated Balance Sheets as of September 30, 2015 and December 31, 2014</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9900" w:type="dxa"/>
            <w:vAlign w:val="bottom"/>
            <w:shd w:val="clear" w:color="auto" w:fill="F0FFFF"/>
          </w:tcPr>
          <w:p>
            <w:pPr>
              <w:ind w:left="300"/>
              <w:spacing w:after="0" w:line="201" w:lineRule="exact"/>
              <w:rPr>
                <w:sz w:val="20"/>
                <w:szCs w:val="20"/>
                <w:color w:val="auto"/>
              </w:rPr>
            </w:pPr>
            <w:r>
              <w:rPr>
                <w:rFonts w:ascii="Arial" w:cs="Arial" w:eastAsia="Arial" w:hAnsi="Arial"/>
                <w:sz w:val="18"/>
                <w:szCs w:val="18"/>
                <w:color w:val="auto"/>
                <w:w w:val="93"/>
              </w:rPr>
              <w:t>Consolidated Statements of Income and Comprehensive Income for the Three and Nine Months Ended September 30, 2015 and</w:t>
            </w:r>
          </w:p>
        </w:tc>
        <w:tc>
          <w:tcPr>
            <w:tcW w:w="56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September 30, 2014</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Consolidated Statements of Cash Flows for the Nine Months Ended September 30, 2015 and September 30, 2014</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2.</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3.</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PART II</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1.</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1A.</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F0FFFF"/>
          </w:tcPr>
          <w:p>
            <w:pPr>
              <w:spacing w:after="0"/>
              <w:rPr>
                <w:sz w:val="20"/>
                <w:szCs w:val="20"/>
                <w:color w:val="auto"/>
              </w:rPr>
            </w:pPr>
            <w:r>
              <w:rPr>
                <w:rFonts w:ascii="Arial" w:cs="Arial" w:eastAsia="Arial" w:hAnsi="Arial"/>
                <w:sz w:val="18"/>
                <w:szCs w:val="18"/>
                <w:color w:val="auto"/>
              </w:rPr>
              <w:t>Item 6.</w:t>
            </w: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99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9900" w:type="dxa"/>
            <w:vAlign w:val="bottom"/>
            <w:tcBorders>
              <w:bottom w:val="single" w:sz="8" w:color="DCDCDC"/>
            </w:tcBorders>
          </w:tcPr>
          <w:p>
            <w:pPr>
              <w:ind w:left="472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Prepaid expenses and other current assets</w:t>
      </w:r>
    </w:p>
    <w:p>
      <w:pPr>
        <w:spacing w:after="0" w:line="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term 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8"/>
        </w:trPr>
        <w:tc>
          <w:tcPr>
            <w:tcW w:w="4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46,421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43,985</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46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48,175</w:t>
            </w:r>
          </w:p>
        </w:tc>
      </w:tr>
      <w:tr>
        <w:trPr>
          <w:trHeight w:val="404"/>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7"/>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4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55,893</w:t>
            </w:r>
          </w:p>
        </w:tc>
      </w:tr>
      <w:tr>
        <w:trPr>
          <w:trHeight w:val="21"/>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-2023110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-1740535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-1465580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-1191260</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-891540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-616585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-342265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320"/>
            <w:col w:w="794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4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F0FFFF"/>
          </w:tcPr>
          <w:p>
            <w:pPr>
              <w:spacing w:after="0"/>
              <w:rPr>
                <w:sz w:val="21"/>
                <w:szCs w:val="21"/>
                <w:color w:val="auto"/>
              </w:rPr>
            </w:pPr>
          </w:p>
        </w:tc>
        <w:tc>
          <w:tcPr>
            <w:tcW w:w="40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2,333</w:t>
            </w:r>
          </w:p>
        </w:tc>
        <w:tc>
          <w:tcPr>
            <w:tcW w:w="38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F0FFFF"/>
              <w:bottom w:val="single" w:sz="8" w:color="F0FF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3,394</w:t>
            </w:r>
          </w:p>
        </w:tc>
        <w:tc>
          <w:tcPr>
            <w:tcW w:w="200" w:type="dxa"/>
            <w:vAlign w:val="bottom"/>
            <w:tcBorders>
              <w:top w:val="single" w:sz="8" w:color="F0FFFF"/>
              <w:bottom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3,430</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40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$.01 par value; 70,000,000 shares authorized; issued and outstanding 22,929,901 as of September</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280"/>
              <w:spacing w:after="0"/>
              <w:rPr>
                <w:sz w:val="20"/>
                <w:szCs w:val="20"/>
                <w:color w:val="auto"/>
              </w:rPr>
            </w:pPr>
            <w:r>
              <w:rPr>
                <w:rFonts w:ascii="Arial" w:cs="Arial" w:eastAsia="Arial" w:hAnsi="Arial"/>
                <w:sz w:val="18"/>
                <w:szCs w:val="18"/>
                <w:color w:val="auto"/>
              </w:rPr>
              <w:t>30, 2015 and 22,808,761 as of December 31, 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102,585</w:t>
            </w:r>
          </w:p>
        </w:tc>
        <w:tc>
          <w:tcPr>
            <w:tcW w:w="3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103,756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F0FFFF"/>
          </w:tcPr>
          <w:p>
            <w:pPr>
              <w:spacing w:after="0"/>
              <w:rPr>
                <w:sz w:val="21"/>
                <w:szCs w:val="21"/>
                <w:color w:val="auto"/>
              </w:rPr>
            </w:pPr>
          </w:p>
        </w:tc>
        <w:tc>
          <w:tcPr>
            <w:tcW w:w="40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(48,778)</w:t>
            </w:r>
          </w:p>
        </w:tc>
        <w:tc>
          <w:tcPr>
            <w:tcW w:w="380" w:type="dxa"/>
            <w:vAlign w:val="bottom"/>
            <w:shd w:val="clear" w:color="auto" w:fill="F0FFFF"/>
          </w:tcPr>
          <w:p>
            <w:pPr>
              <w:spacing w:after="0"/>
              <w:rPr>
                <w:sz w:val="21"/>
                <w:szCs w:val="21"/>
                <w:color w:val="auto"/>
              </w:rPr>
            </w:pPr>
          </w:p>
        </w:tc>
        <w:tc>
          <w:tcPr>
            <w:tcW w:w="9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F0FFFF"/>
              <w:bottom w:val="single" w:sz="8" w:color="F0FF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53,966</w:t>
            </w:r>
          </w:p>
        </w:tc>
        <w:tc>
          <w:tcPr>
            <w:tcW w:w="200" w:type="dxa"/>
            <w:vAlign w:val="bottom"/>
            <w:tcBorders>
              <w:top w:val="single" w:sz="8" w:color="F0FFFF"/>
              <w:bottom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52,389</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57,510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55,893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2014</w:t>
            </w: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Software licenses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3,077</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5,997</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Software maintenance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1,085</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3,651</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2,727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Hardware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4,041</w:t>
            </w: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80" w:type="dxa"/>
            <w:vAlign w:val="bottom"/>
            <w:tcBorders>
              <w:top w:val="single" w:sz="8" w:color="auto"/>
              <w:bottom w:val="single" w:sz="8" w:color="auto"/>
            </w:tcBorders>
            <w:shd w:val="clear" w:color="auto" w:fill="F0FFFF"/>
          </w:tcPr>
          <w:p>
            <w:pPr>
              <w:spacing w:after="0"/>
              <w:rPr>
                <w:sz w:val="19"/>
                <w:szCs w:val="19"/>
                <w:color w:val="auto"/>
              </w:rPr>
            </w:pPr>
          </w:p>
        </w:tc>
        <w:tc>
          <w:tcPr>
            <w:tcW w:w="44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6,027</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12,674</w:t>
            </w:r>
          </w:p>
        </w:tc>
        <w:tc>
          <w:tcPr>
            <w:tcW w:w="60" w:type="dxa"/>
            <w:vAlign w:val="bottom"/>
            <w:tcBorders>
              <w:top w:val="single" w:sz="8" w:color="auto"/>
              <w:bottom w:val="single" w:sz="8" w:color="auto"/>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19,411</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 of hardware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615</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1,532</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4,364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973</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2,885</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2,604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3,612</w:t>
            </w: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80" w:type="dxa"/>
            <w:vAlign w:val="bottom"/>
            <w:tcBorders>
              <w:top w:val="single" w:sz="8" w:color="auto"/>
              <w:bottom w:val="single" w:sz="8" w:color="auto"/>
            </w:tcBorders>
            <w:shd w:val="clear" w:color="auto" w:fill="F0FFFF"/>
          </w:tcPr>
          <w:p>
            <w:pPr>
              <w:spacing w:after="0"/>
              <w:rPr>
                <w:sz w:val="19"/>
                <w:szCs w:val="19"/>
                <w:color w:val="auto"/>
              </w:rPr>
            </w:pPr>
          </w:p>
        </w:tc>
        <w:tc>
          <w:tcPr>
            <w:tcW w:w="44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11,385</w:t>
            </w:r>
          </w:p>
        </w:tc>
        <w:tc>
          <w:tcPr>
            <w:tcW w:w="60" w:type="dxa"/>
            <w:vAlign w:val="bottom"/>
            <w:tcBorders>
              <w:top w:val="single" w:sz="8" w:color="auto"/>
              <w:bottom w:val="single" w:sz="8" w:color="auto"/>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14,692</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Patent related income</w:t>
            </w:r>
          </w:p>
        </w:tc>
        <w:tc>
          <w:tcPr>
            <w:tcW w:w="260" w:type="dxa"/>
            <w:vAlign w:val="bottom"/>
            <w:shd w:val="clear" w:color="auto" w:fill="F0FFFF"/>
          </w:tcPr>
          <w:p>
            <w:pPr>
              <w:spacing w:after="0"/>
              <w:rPr>
                <w:sz w:val="20"/>
                <w:szCs w:val="20"/>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2,127</w:t>
            </w:r>
          </w:p>
        </w:tc>
        <w:tc>
          <w:tcPr>
            <w:tcW w:w="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0"/>
                <w:szCs w:val="20"/>
                <w:color w:val="auto"/>
              </w:rPr>
            </w:pPr>
          </w:p>
        </w:tc>
        <w:tc>
          <w:tcPr>
            <w:tcW w:w="46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2,127</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4,155</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1,289</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6,846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income/(expense)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160"/>
              <w:spacing w:after="0" w:line="203" w:lineRule="exact"/>
              <w:rPr>
                <w:sz w:val="20"/>
                <w:szCs w:val="20"/>
                <w:color w:val="auto"/>
              </w:rPr>
            </w:pPr>
            <w:r>
              <w:rPr>
                <w:rFonts w:ascii="Arial" w:cs="Arial" w:eastAsia="Arial" w:hAnsi="Arial"/>
                <w:sz w:val="18"/>
                <w:szCs w:val="18"/>
                <w:color w:val="auto"/>
              </w:rPr>
              <w:t>464</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4,198</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140"/>
              <w:spacing w:after="0" w:line="203" w:lineRule="exact"/>
              <w:rPr>
                <w:sz w:val="20"/>
                <w:szCs w:val="20"/>
                <w:color w:val="auto"/>
              </w:rPr>
            </w:pPr>
            <w:r>
              <w:rPr>
                <w:rFonts w:ascii="Arial" w:cs="Arial" w:eastAsia="Arial" w:hAnsi="Arial"/>
                <w:sz w:val="18"/>
                <w:szCs w:val="18"/>
                <w:color w:val="auto"/>
              </w:rPr>
              <w:t>1,410</w:t>
            </w: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6,969</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1,599</w:t>
            </w:r>
          </w:p>
        </w:tc>
        <w:tc>
          <w:tcPr>
            <w:tcW w:w="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2,788</w:t>
            </w:r>
          </w:p>
        </w:tc>
        <w:tc>
          <w:tcPr>
            <w:tcW w:w="52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0.10</w:t>
            </w:r>
          </w:p>
        </w:tc>
        <w:tc>
          <w:tcPr>
            <w:tcW w:w="52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F0FFFF"/>
          </w:tcPr>
          <w:p>
            <w:pPr>
              <w:jc w:val="right"/>
              <w:ind w:right="13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0.12</w:t>
            </w:r>
          </w:p>
        </w:tc>
        <w:tc>
          <w:tcPr>
            <w:tcW w:w="52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Weighted-average shares – basic</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22,930</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22,804</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22,888</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22,687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22,893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22,949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2,599</w:t>
            </w:r>
          </w:p>
        </w:tc>
        <w:tc>
          <w:tcPr>
            <w:tcW w:w="260" w:type="dxa"/>
            <w:vAlign w:val="bottom"/>
            <w:gridSpan w:val="2"/>
            <w:shd w:val="clear" w:color="auto" w:fill="F0FFFF"/>
          </w:tcPr>
          <w:p>
            <w:pPr>
              <w:jc w:val="right"/>
              <w:ind w:right="13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2,788</w:t>
            </w:r>
          </w:p>
        </w:tc>
        <w:tc>
          <w:tcPr>
            <w:tcW w:w="52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4,344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Unrealized gains (losses) on available for sale securities</w:t>
            </w:r>
          </w:p>
        </w:tc>
        <w:tc>
          <w:tcPr>
            <w:tcW w:w="2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2,747</w:t>
            </w:r>
          </w:p>
        </w:tc>
        <w:tc>
          <w:tcPr>
            <w:tcW w:w="52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F0FFFF"/>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2,788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466</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Reversal of reserve for uncertain tax positions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(1,913)</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Gain on sale of patent assets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Amortization of premium on investments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Deferred tax provision on other comprehensive income</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(Gain)/loss on sale of investments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1,210</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(614)</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Deferred tax assets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Accrued expenses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Accrued income taxes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F0FFFF"/>
              <w:bottom w:val="single" w:sz="8" w:color="F0FFFF"/>
            </w:tcBorders>
          </w:tcPr>
          <w:p>
            <w:pPr>
              <w:ind w:left="64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2,065</w:t>
            </w:r>
          </w:p>
        </w:tc>
        <w:tc>
          <w:tcPr>
            <w:tcW w:w="20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5,558</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Purchases of property and equipment</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Sales of investments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Proceeds from sale of patent assets, net</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Purchase of other assets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top w:val="single" w:sz="8" w:color="F0FFFF"/>
              <w:bottom w:val="single" w:sz="8" w:color="F0FFFF"/>
            </w:tcBorders>
            <w:shd w:val="clear" w:color="auto" w:fill="F0FF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44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3,447</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F0FFFF"/>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Payment of dividends</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Excess tax benefits from stock-based compensation</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shd w:val="clear" w:color="auto" w:fill="F0FFFF"/>
          </w:tcPr>
          <w:p>
            <w:pPr>
              <w:ind w:left="320"/>
              <w:spacing w:after="0"/>
              <w:rPr>
                <w:sz w:val="20"/>
                <w:szCs w:val="20"/>
                <w:color w:val="auto"/>
              </w:rPr>
            </w:pPr>
            <w:r>
              <w:rPr>
                <w:rFonts w:ascii="Arial" w:cs="Arial" w:eastAsia="Arial" w:hAnsi="Arial"/>
                <w:sz w:val="18"/>
                <w:szCs w:val="18"/>
                <w:color w:val="auto"/>
                <w:w w:val="99"/>
              </w:rPr>
              <w:t>Payments made for taxes of employees who surrendered shares related to unrestricted stock</w:t>
            </w:r>
          </w:p>
        </w:tc>
        <w:tc>
          <w:tcPr>
            <w:tcW w:w="8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(156)</w:t>
            </w:r>
          </w:p>
        </w:tc>
        <w:tc>
          <w:tcPr>
            <w:tcW w:w="440" w:type="dxa"/>
            <w:vAlign w:val="bottom"/>
            <w:shd w:val="clear" w:color="auto" w:fill="F0FFFF"/>
          </w:tcPr>
          <w:p>
            <w:pPr>
              <w:spacing w:after="0"/>
              <w:rPr>
                <w:sz w:val="21"/>
                <w:szCs w:val="21"/>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F0FFFF"/>
              <w:bottom w:val="single" w:sz="8" w:color="F0FFFF"/>
            </w:tcBorders>
          </w:tcPr>
          <w:p>
            <w:pPr>
              <w:ind w:left="640"/>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8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w:t>
            </w:r>
          </w:p>
        </w:tc>
        <w:tc>
          <w:tcPr>
            <w:tcW w:w="20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(38,158</w:t>
            </w:r>
          </w:p>
        </w:tc>
        <w:tc>
          <w:tcPr>
            <w:tcW w:w="100" w:type="dxa"/>
            <w:vAlign w:val="bottom"/>
            <w:tcBorders>
              <w:top w:val="single" w:sz="8" w:color="F0FFFF"/>
              <w:bottom w:val="single" w:sz="8" w:color="F0FF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2,436</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43,985</w:t>
            </w:r>
          </w:p>
        </w:tc>
        <w:tc>
          <w:tcPr>
            <w:tcW w:w="44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72,660</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774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46,421</w:t>
            </w:r>
          </w:p>
        </w:tc>
        <w:tc>
          <w:tcPr>
            <w:tcW w:w="44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43,507</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7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F0FFFF"/>
          </w:tcPr>
          <w:p>
            <w:pPr>
              <w:spacing w:after="0"/>
              <w:rPr>
                <w:sz w:val="20"/>
                <w:szCs w:val="20"/>
                <w:color w:val="auto"/>
              </w:rPr>
            </w:pPr>
            <w:r>
              <w:rPr>
                <w:rFonts w:ascii="Arial" w:cs="Arial" w:eastAsia="Arial" w:hAnsi="Arial"/>
                <w:sz w:val="18"/>
                <w:szCs w:val="18"/>
                <w:color w:val="auto"/>
              </w:rPr>
              <w:t>Supplemental disclosure:</w:t>
            </w: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2014 in conjunction with our 2014 Annual Report on Form 10-K. This Form 10-Q should be read in conjunction with that Form 10-K.</w:t>
      </w:r>
    </w:p>
    <w:p>
      <w:pPr>
        <w:spacing w:after="0" w:line="188"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accompanying unaudited consolidated balance sheets, statements of income and comprehensive income, and statements of cash flows reflect all adjustments (consisting only of normal recurring items) which are, in the opinion of management, necessary for a fair presentation of financial position at September 30, 2015, and of operations and cash flows for the interim periods ended September 30, 2015 and 2014.</w:t>
      </w:r>
    </w:p>
    <w:p>
      <w:pPr>
        <w:spacing w:after="0" w:line="16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September 30, 2015 are not necessarily indicative of the results to be expected for the year.</w:t>
      </w:r>
    </w:p>
    <w:p>
      <w:pPr>
        <w:spacing w:after="0" w:line="236"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177"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$46.4 million and $44.0 million as of September 30, 2015 and December 31, 2014, respectively. We classified our cash equivalents of $34.3 million and $34.3 million as of September 30, 2015 and December 31, 2014 within Level 1 of the fair value hierarchy because they are valued using quoted market prices.</w:t>
      </w:r>
    </w:p>
    <w:p>
      <w:pPr>
        <w:spacing w:after="0" w:line="181"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$0.9 million and $1.4 million of available-for-sale investments as of September 30, 2015 and December 31, 2014, respectively.</w:t>
      </w:r>
    </w:p>
    <w:p>
      <w:pPr>
        <w:spacing w:after="0" w:line="165"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September 30, 2015, our assets that are measured at fair value on a recurring basis and whose carrying values approximate their respective fair values include the following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September 30, 2015 Using:</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gridSpan w:val="3"/>
          </w:tcPr>
          <w:p>
            <w:pPr>
              <w:jc w:val="center"/>
              <w:ind w:right="200"/>
              <w:spacing w:after="0" w:line="201" w:lineRule="exact"/>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000" w:type="dxa"/>
            <w:vAlign w:val="bottom"/>
            <w:gridSpan w:val="4"/>
          </w:tcPr>
          <w:p>
            <w:pPr>
              <w:jc w:val="center"/>
              <w:ind w:left="1170"/>
              <w:spacing w:after="0"/>
              <w:rPr>
                <w:sz w:val="20"/>
                <w:szCs w:val="20"/>
                <w:color w:val="auto"/>
              </w:rPr>
            </w:pPr>
            <w:r>
              <w:rPr>
                <w:rFonts w:ascii="Arial" w:cs="Arial" w:eastAsia="Arial" w:hAnsi="Arial"/>
                <w:sz w:val="18"/>
                <w:szCs w:val="18"/>
                <w:color w:val="auto"/>
                <w:w w:val="95"/>
              </w:rPr>
              <w:t>Active Markets for</w:t>
            </w: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Significant Other</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Identical Assets</w:t>
            </w:r>
          </w:p>
        </w:tc>
        <w:tc>
          <w:tcPr>
            <w:tcW w:w="1500" w:type="dxa"/>
            <w:vAlign w:val="bottom"/>
            <w:gridSpan w:val="3"/>
          </w:tcPr>
          <w:p>
            <w:pPr>
              <w:spacing w:after="0"/>
              <w:rPr>
                <w:sz w:val="20"/>
                <w:szCs w:val="20"/>
                <w:color w:val="auto"/>
              </w:rPr>
            </w:pPr>
            <w:r>
              <w:rPr>
                <w:rFonts w:ascii="Arial" w:cs="Arial" w:eastAsia="Arial" w:hAnsi="Arial"/>
                <w:sz w:val="18"/>
                <w:szCs w:val="18"/>
                <w:color w:val="auto"/>
              </w:rPr>
              <w:t>Observable Inputs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(Level 2)</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Corporate debt securities</w:t>
            </w:r>
          </w:p>
        </w:tc>
        <w:tc>
          <w:tcPr>
            <w:tcW w:w="14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ind w:right="9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F0FFFF"/>
            </w:tcBorders>
            <w:shd w:val="clear" w:color="auto" w:fill="F0FF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34,322</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1"/>
                <w:szCs w:val="21"/>
                <w:color w:val="auto"/>
              </w:rPr>
            </w:pPr>
          </w:p>
        </w:tc>
        <w:tc>
          <w:tcPr>
            <w:tcW w:w="48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35,180</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80" w:type="dxa"/>
            <w:vAlign w:val="bottom"/>
            <w:tcBorders>
              <w:top w:val="single" w:sz="8" w:color="auto"/>
              <w:bottom w:val="single" w:sz="8" w:color="auto"/>
            </w:tcBorders>
            <w:shd w:val="clear" w:color="auto" w:fill="F0FFFF"/>
          </w:tcPr>
          <w:p>
            <w:pPr>
              <w:jc w:val="right"/>
              <w:ind w:right="9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tcBorders>
              <w:top w:val="single" w:sz="8" w:color="F0FFFF"/>
            </w:tcBorders>
          </w:tcPr>
          <w:p>
            <w:pPr>
              <w:spacing w:after="0" w:line="20" w:lineRule="exact"/>
              <w:rPr>
                <w:sz w:val="1"/>
                <w:szCs w:val="1"/>
                <w:color w:val="auto"/>
              </w:rPr>
            </w:pPr>
          </w:p>
        </w:tc>
        <w:tc>
          <w:tcPr>
            <w:tcW w:w="1440" w:type="dxa"/>
            <w:vAlign w:val="bottom"/>
            <w:tcBorders>
              <w:top w:val="single" w:sz="8" w:color="F0FFFF"/>
              <w:bottom w:val="single" w:sz="8" w:color="F0FFFF"/>
            </w:tcBorders>
            <w:vMerge w:val="restart"/>
          </w:tcPr>
          <w:p>
            <w:pPr>
              <w:jc w:val="right"/>
              <w:ind w:right="77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40" w:type="dxa"/>
            <w:vAlign w:val="bottom"/>
            <w:tcBorders>
              <w:bottom w:val="single" w:sz="8" w:color="DCDCDC"/>
            </w:tcBorders>
          </w:tcPr>
          <w:p>
            <w:pPr>
              <w:spacing w:after="0"/>
              <w:rPr>
                <w:sz w:val="24"/>
                <w:szCs w:val="24"/>
                <w:color w:val="auto"/>
              </w:rPr>
            </w:pPr>
          </w:p>
        </w:tc>
        <w:tc>
          <w:tcPr>
            <w:tcW w:w="484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ind w:left="332"/>
        <w:spacing w:after="0" w:line="277" w:lineRule="auto"/>
        <w:rPr>
          <w:sz w:val="20"/>
          <w:szCs w:val="20"/>
          <w:color w:val="auto"/>
        </w:rPr>
      </w:pPr>
      <w:r>
        <w:rPr>
          <w:rFonts w:ascii="Arial" w:cs="Arial" w:eastAsia="Arial" w:hAnsi="Arial"/>
          <w:sz w:val="18"/>
          <w:szCs w:val="18"/>
          <w:color w:val="auto"/>
        </w:rPr>
        <w:t>As of December 31, 2014, our assets that are measured at fair value on a recurring basis and whose carrying values approximate their respective fair values include the following (in thousands):</w:t>
      </w:r>
    </w:p>
    <w:p>
      <w:pPr>
        <w:spacing w:after="0" w:line="184" w:lineRule="exact"/>
        <w:rPr>
          <w:sz w:val="20"/>
          <w:szCs w:val="20"/>
          <w:color w:val="auto"/>
        </w:rPr>
      </w:pPr>
    </w:p>
    <w:tbl>
      <w:tblPr>
        <w:tblLayout w:type="fixed"/>
        <w:tblInd w:w="332" w:type="dxa"/>
        <w:tblCellMar>
          <w:top w:w="0" w:type="dxa"/>
          <w:left w:w="0" w:type="dxa"/>
          <w:bottom w:w="0" w:type="dxa"/>
          <w:right w:w="0" w:type="dxa"/>
        </w:tblCellMar>
      </w:tblPr>
      <w:tr>
        <w:trPr>
          <w:trHeight w:val="237"/>
        </w:trPr>
        <w:tc>
          <w:tcPr>
            <w:tcW w:w="6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90"/>
              </w:rPr>
              <w:t>Fair Value Measurement at December 31, 2014 Using:</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300" w:type="dxa"/>
            <w:vAlign w:val="bottom"/>
          </w:tcPr>
          <w:p>
            <w:pPr>
              <w:spacing w:after="0"/>
              <w:rPr>
                <w:sz w:val="17"/>
                <w:szCs w:val="17"/>
                <w:color w:val="auto"/>
              </w:rPr>
            </w:pPr>
          </w:p>
        </w:tc>
        <w:tc>
          <w:tcPr>
            <w:tcW w:w="1460" w:type="dxa"/>
            <w:vAlign w:val="bottom"/>
            <w:gridSpan w:val="3"/>
          </w:tcPr>
          <w:p>
            <w:pPr>
              <w:jc w:val="center"/>
              <w:ind w:right="100"/>
              <w:spacing w:after="0" w:line="201" w:lineRule="exact"/>
              <w:rPr>
                <w:sz w:val="20"/>
                <w:szCs w:val="20"/>
                <w:color w:val="auto"/>
              </w:rPr>
            </w:pPr>
            <w:r>
              <w:rPr>
                <w:rFonts w:ascii="Arial" w:cs="Arial" w:eastAsia="Arial" w:hAnsi="Arial"/>
                <w:sz w:val="18"/>
                <w:szCs w:val="18"/>
                <w:color w:val="auto"/>
                <w:w w:val="90"/>
              </w:rPr>
              <w:t>Quoted Prices in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3"/>
              </w:rPr>
              <w:t>Significant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Active Markets for</w:t>
            </w:r>
          </w:p>
        </w:tc>
        <w:tc>
          <w:tcPr>
            <w:tcW w:w="10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Significant Other</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Identical Assets</w:t>
            </w:r>
          </w:p>
        </w:tc>
        <w:tc>
          <w:tcPr>
            <w:tcW w:w="150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Observable Inputs</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(Level 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3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ind w:right="91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37"/>
        </w:trPr>
        <w:tc>
          <w:tcPr>
            <w:tcW w:w="630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5"/>
        </w:trPr>
        <w:tc>
          <w:tcPr>
            <w:tcW w:w="63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35,767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80" w:type="dxa"/>
            <w:vAlign w:val="bottom"/>
            <w:tcBorders>
              <w:top w:val="single" w:sz="8" w:color="auto"/>
              <w:bottom w:val="single" w:sz="8" w:color="auto"/>
            </w:tcBorders>
            <w:shd w:val="clear" w:color="auto" w:fill="F0FFFF"/>
          </w:tcPr>
          <w:p>
            <w:pPr>
              <w:jc w:val="right"/>
              <w:ind w:right="91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63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ind w:left="332" w:hanging="332"/>
        <w:spacing w:after="0" w:line="277"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net realizable value with cost being determined by the first-in, first-out (“FIFO”)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consisted of the following (in thousands):</w:t>
      </w:r>
    </w:p>
    <w:p>
      <w:pPr>
        <w:spacing w:after="0" w:line="166" w:lineRule="exact"/>
        <w:rPr>
          <w:sz w:val="20"/>
          <w:szCs w:val="20"/>
          <w:color w:val="auto"/>
        </w:rPr>
      </w:pPr>
    </w:p>
    <w:tbl>
      <w:tblPr>
        <w:tblLayout w:type="fixed"/>
        <w:tblInd w:w="1292"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67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F0FFFF"/>
            </w:tcBorders>
          </w:tcPr>
          <w:p>
            <w:pPr>
              <w:spacing w:after="0"/>
              <w:rPr>
                <w:sz w:val="20"/>
                <w:szCs w:val="20"/>
                <w:color w:val="auto"/>
              </w:rPr>
            </w:pPr>
          </w:p>
        </w:tc>
      </w:tr>
      <w:tr>
        <w:trPr>
          <w:trHeight w:val="216"/>
        </w:trPr>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F0FFFF"/>
          </w:tcPr>
          <w:p>
            <w:pPr>
              <w:spacing w:after="0"/>
              <w:rPr>
                <w:sz w:val="18"/>
                <w:szCs w:val="18"/>
                <w:color w:val="auto"/>
              </w:rPr>
            </w:pPr>
          </w:p>
        </w:tc>
      </w:tr>
      <w:tr>
        <w:trPr>
          <w:trHeight w:val="237"/>
        </w:trPr>
        <w:tc>
          <w:tcPr>
            <w:tcW w:w="67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tcPr>
          <w:p>
            <w:pPr>
              <w:spacing w:after="0"/>
              <w:rPr>
                <w:sz w:val="20"/>
                <w:szCs w:val="20"/>
                <w:color w:val="auto"/>
              </w:rPr>
            </w:pPr>
          </w:p>
        </w:tc>
      </w:tr>
      <w:tr>
        <w:trPr>
          <w:trHeight w:val="255"/>
        </w:trPr>
        <w:tc>
          <w:tcPr>
            <w:tcW w:w="67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67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32" w:hanging="332"/>
        <w:spacing w:after="0" w:line="25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188"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21"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1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14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2,197</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2,788</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F0FFFF"/>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4280" w:type="dxa"/>
            <w:vAlign w:val="bottom"/>
            <w:gridSpan w:val="2"/>
            <w:shd w:val="clear" w:color="auto" w:fill="F0FFFF"/>
          </w:tcPr>
          <w:p>
            <w:pPr>
              <w:spacing w:after="0" w:line="176" w:lineRule="exact"/>
              <w:rPr>
                <w:sz w:val="20"/>
                <w:szCs w:val="20"/>
                <w:color w:val="auto"/>
              </w:rPr>
            </w:pPr>
            <w:r>
              <w:rPr>
                <w:rFonts w:ascii="Arial" w:cs="Arial" w:eastAsia="Arial" w:hAnsi="Arial"/>
                <w:sz w:val="18"/>
                <w:szCs w:val="18"/>
                <w:color w:val="auto"/>
              </w:rPr>
              <w:t>Shares outstanding:</w:t>
            </w: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r>
      <w:tr>
        <w:trPr>
          <w:trHeight w:val="21"/>
        </w:trPr>
        <w:tc>
          <w:tcPr>
            <w:tcW w:w="1400" w:type="dxa"/>
            <w:vAlign w:val="bottom"/>
            <w:tcBorders>
              <w:top w:val="single" w:sz="8" w:color="auto"/>
            </w:tcBorders>
            <w:shd w:val="clear" w:color="auto" w:fill="F0FFFF"/>
          </w:tcPr>
          <w:p>
            <w:pPr>
              <w:spacing w:after="0" w:line="20" w:lineRule="exact"/>
              <w:rPr>
                <w:sz w:val="1"/>
                <w:szCs w:val="1"/>
                <w:color w:val="auto"/>
              </w:rPr>
            </w:pPr>
          </w:p>
        </w:tc>
        <w:tc>
          <w:tcPr>
            <w:tcW w:w="288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22,930</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22,804</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22,888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22,687</w:t>
            </w:r>
          </w:p>
        </w:tc>
      </w:tr>
      <w:tr>
        <w:trPr>
          <w:trHeight w:val="250"/>
        </w:trPr>
        <w:tc>
          <w:tcPr>
            <w:tcW w:w="42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Additional dilutive common stock equivalents</w:t>
            </w:r>
          </w:p>
        </w:tc>
        <w:tc>
          <w:tcPr>
            <w:tcW w:w="9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F0FFFF"/>
          </w:tcPr>
          <w:p>
            <w:pPr>
              <w:spacing w:after="0"/>
              <w:rPr>
                <w:sz w:val="21"/>
                <w:szCs w:val="21"/>
                <w:color w:val="auto"/>
              </w:rPr>
            </w:pPr>
          </w:p>
        </w:tc>
      </w:tr>
      <w:tr>
        <w:trPr>
          <w:trHeight w:val="217"/>
        </w:trPr>
        <w:tc>
          <w:tcPr>
            <w:tcW w:w="4280" w:type="dxa"/>
            <w:vAlign w:val="bottom"/>
            <w:tcBorders>
              <w:top w:val="single" w:sz="8" w:color="F0FFFF"/>
            </w:tcBorders>
            <w:gridSpan w:val="2"/>
          </w:tcPr>
          <w:p>
            <w:pPr>
              <w:spacing w:after="0"/>
              <w:rPr>
                <w:sz w:val="20"/>
                <w:szCs w:val="20"/>
                <w:color w:val="auto"/>
              </w:rPr>
            </w:pPr>
            <w:r>
              <w:rPr>
                <w:rFonts w:ascii="Arial" w:cs="Arial" w:eastAsia="Arial" w:hAnsi="Arial"/>
                <w:sz w:val="18"/>
                <w:szCs w:val="18"/>
                <w:color w:val="auto"/>
              </w:rPr>
              <w:t>Diluted shares outstanding</w:t>
            </w:r>
          </w:p>
        </w:tc>
        <w:tc>
          <w:tcPr>
            <w:tcW w:w="9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23,011</w:t>
            </w:r>
          </w:p>
        </w:tc>
        <w:tc>
          <w:tcPr>
            <w:tcW w:w="2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22,949</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22,781</w:t>
            </w:r>
          </w:p>
        </w:tc>
        <w:tc>
          <w:tcPr>
            <w:tcW w:w="100" w:type="dxa"/>
            <w:vAlign w:val="bottom"/>
            <w:tcBorders>
              <w:top w:val="single" w:sz="8" w:color="F0FFFF"/>
            </w:tcBorders>
          </w:tcPr>
          <w:p>
            <w:pPr>
              <w:spacing w:after="0"/>
              <w:rPr>
                <w:sz w:val="18"/>
                <w:szCs w:val="18"/>
                <w:color w:val="auto"/>
              </w:rPr>
            </w:pPr>
          </w:p>
        </w:tc>
      </w:tr>
      <w:tr>
        <w:trPr>
          <w:trHeight w:val="20"/>
        </w:trPr>
        <w:tc>
          <w:tcPr>
            <w:tcW w:w="1400" w:type="dxa"/>
            <w:vAlign w:val="bottom"/>
            <w:tcBorders>
              <w:bottom w:val="single" w:sz="8" w:color="F0FFFF"/>
            </w:tcBorders>
          </w:tcPr>
          <w:p>
            <w:pPr>
              <w:spacing w:after="0" w:line="20" w:lineRule="exact"/>
              <w:rPr>
                <w:sz w:val="1"/>
                <w:szCs w:val="1"/>
                <w:color w:val="auto"/>
              </w:rPr>
            </w:pPr>
          </w:p>
        </w:tc>
        <w:tc>
          <w:tcPr>
            <w:tcW w:w="2880" w:type="dxa"/>
            <w:vAlign w:val="bottom"/>
            <w:tcBorders>
              <w:bottom w:val="single" w:sz="8" w:color="F0FFFF"/>
            </w:tcBorders>
          </w:tcPr>
          <w:p>
            <w:pPr>
              <w:spacing w:after="0" w:line="20" w:lineRule="exact"/>
              <w:rPr>
                <w:sz w:val="1"/>
                <w:szCs w:val="1"/>
                <w:color w:val="auto"/>
              </w:rPr>
            </w:pPr>
          </w:p>
        </w:tc>
        <w:tc>
          <w:tcPr>
            <w:tcW w:w="9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10"/>
        </w:trPr>
        <w:tc>
          <w:tcPr>
            <w:tcW w:w="1400" w:type="dxa"/>
            <w:vAlign w:val="bottom"/>
            <w:shd w:val="clear" w:color="auto" w:fill="F0FFFF"/>
          </w:tcPr>
          <w:p>
            <w:pPr>
              <w:spacing w:after="0"/>
              <w:rPr>
                <w:sz w:val="18"/>
                <w:szCs w:val="18"/>
                <w:color w:val="auto"/>
              </w:rPr>
            </w:pPr>
          </w:p>
        </w:tc>
        <w:tc>
          <w:tcPr>
            <w:tcW w:w="28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16"/>
        </w:trPr>
        <w:tc>
          <w:tcPr>
            <w:tcW w:w="42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jc w:val="both"/>
        <w:ind w:left="332"/>
        <w:spacing w:after="0" w:line="264" w:lineRule="auto"/>
        <w:rPr>
          <w:sz w:val="20"/>
          <w:szCs w:val="20"/>
          <w:color w:val="auto"/>
        </w:rPr>
      </w:pPr>
      <w:r>
        <w:rPr>
          <w:rFonts w:ascii="Arial" w:cs="Arial" w:eastAsia="Arial" w:hAnsi="Arial"/>
          <w:sz w:val="18"/>
          <w:szCs w:val="18"/>
          <w:color w:val="auto"/>
        </w:rPr>
        <w:t>For the three month periods ended September 30, 2015 and 2014, options to purchase 64,034 and 40,834 shares of common stock were outstanding, but were not included in the computation of diluted EPS because the options’ exercise prices were greater than the average market price of the common stock and thus would be anti-dilutive.</w:t>
      </w:r>
    </w:p>
    <w:p>
      <w:pPr>
        <w:spacing w:after="0" w:line="181" w:lineRule="exact"/>
        <w:rPr>
          <w:sz w:val="20"/>
          <w:szCs w:val="20"/>
          <w:color w:val="auto"/>
        </w:rPr>
      </w:pPr>
    </w:p>
    <w:p>
      <w:pPr>
        <w:jc w:val="both"/>
        <w:ind w:left="332"/>
        <w:spacing w:after="0" w:line="264" w:lineRule="auto"/>
        <w:rPr>
          <w:sz w:val="20"/>
          <w:szCs w:val="20"/>
          <w:color w:val="auto"/>
        </w:rPr>
      </w:pPr>
      <w:r>
        <w:rPr>
          <w:rFonts w:ascii="Arial" w:cs="Arial" w:eastAsia="Arial" w:hAnsi="Arial"/>
          <w:sz w:val="18"/>
          <w:szCs w:val="18"/>
          <w:color w:val="auto"/>
        </w:rPr>
        <w:t>For the nine month periods ended September 30, 2015 and 2014, options to purchase 54,034 and 40,834 shares of common stock, respectively, were outstanding, but were not included in the computation of diluted EPS because the options’ exercise prices were greater than the average market price of the common stock and thus would be anti-dilutive.</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7" w:name="page8"/>
    <w:bookmarkEnd w:id="7"/>
    <w:p>
      <w:pPr>
        <w:ind w:left="332" w:right="680" w:hanging="332"/>
        <w:spacing w:after="0" w:line="27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66"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Cost of services</w:t>
            </w:r>
          </w:p>
        </w:tc>
        <w:tc>
          <w:tcPr>
            <w:tcW w:w="2120" w:type="dxa"/>
            <w:vAlign w:val="bottom"/>
            <w:gridSpan w:val="2"/>
            <w:shd w:val="clear" w:color="auto" w:fill="F0FFFF"/>
          </w:tcPr>
          <w:p>
            <w:pPr>
              <w:jc w:val="right"/>
              <w:ind w:right="674"/>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860" w:type="dxa"/>
            <w:vAlign w:val="bottom"/>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w:t>
            </w:r>
          </w:p>
        </w:tc>
        <w:tc>
          <w:tcPr>
            <w:tcW w:w="820" w:type="dxa"/>
            <w:vAlign w:val="bottom"/>
            <w:shd w:val="clear" w:color="auto" w:fill="F0FF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Selling and marketing</w:t>
            </w:r>
          </w:p>
        </w:tc>
        <w:tc>
          <w:tcPr>
            <w:tcW w:w="12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60" w:type="dxa"/>
            <w:vAlign w:val="bottom"/>
            <w:shd w:val="clear" w:color="auto" w:fill="F0FFFF"/>
          </w:tcPr>
          <w:p>
            <w:pPr>
              <w:spacing w:after="0"/>
              <w:rPr>
                <w:sz w:val="18"/>
                <w:szCs w:val="18"/>
                <w:color w:val="auto"/>
              </w:rPr>
            </w:pP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w:t>
            </w:r>
          </w:p>
        </w:tc>
        <w:tc>
          <w:tcPr>
            <w:tcW w:w="820" w:type="dxa"/>
            <w:vAlign w:val="bottom"/>
            <w:shd w:val="clear" w:color="auto" w:fill="F0FFFF"/>
          </w:tcPr>
          <w:p>
            <w:pPr>
              <w:spacing w:after="0"/>
              <w:rPr>
                <w:sz w:val="18"/>
                <w:szCs w:val="18"/>
                <w:color w:val="auto"/>
              </w:rPr>
            </w:pP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w:t>
            </w: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8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8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55"/>
        </w:trPr>
        <w:tc>
          <w:tcPr>
            <w:tcW w:w="39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ind w:right="67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398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i w:val="1"/>
          <w:iCs w:val="1"/>
          <w:color w:val="auto"/>
        </w:rPr>
        <w:t>Stock Option Grants</w:t>
      </w:r>
      <w:r>
        <w:rPr>
          <w:rFonts w:ascii="Arial" w:cs="Arial" w:eastAsia="Arial" w:hAnsi="Arial"/>
          <w:sz w:val="18"/>
          <w:szCs w:val="18"/>
          <w:color w:val="auto"/>
        </w:rPr>
        <w:t>. We may grant stock options under our 2001 Nonqualified Stock Plan although we have not granted any stock options since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When we grant stock options, we estimate their fair value using the Black-Scholes valuation model.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Estimates of fair value are not intended to predict actual future events or the value ultimately realized by persons who receive equity awards.</w:t>
      </w:r>
    </w:p>
    <w:p>
      <w:pPr>
        <w:spacing w:after="0" w:line="189" w:lineRule="exact"/>
        <w:rPr>
          <w:sz w:val="20"/>
          <w:szCs w:val="20"/>
          <w:color w:val="auto"/>
        </w:rPr>
      </w:pPr>
    </w:p>
    <w:p>
      <w:pPr>
        <w:jc w:val="both"/>
        <w:ind w:left="332"/>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181"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We granted shares of unrestricted stock in 2015 and 2014 that affected financial results for the three and nine month periods ended September 30, 2015 and 2014. These grants are described below.</w:t>
      </w:r>
    </w:p>
    <w:p>
      <w:pPr>
        <w:spacing w:after="0" w:line="170" w:lineRule="exact"/>
        <w:rPr>
          <w:sz w:val="20"/>
          <w:szCs w:val="20"/>
          <w:color w:val="auto"/>
        </w:rPr>
      </w:pPr>
    </w:p>
    <w:p>
      <w:pPr>
        <w:jc w:val="both"/>
        <w:ind w:left="492"/>
        <w:spacing w:after="0" w:line="257" w:lineRule="auto"/>
        <w:rPr>
          <w:sz w:val="20"/>
          <w:szCs w:val="20"/>
          <w:color w:val="auto"/>
        </w:rPr>
      </w:pPr>
      <w:r>
        <w:rPr>
          <w:rFonts w:ascii="Arial" w:cs="Arial" w:eastAsia="Arial" w:hAnsi="Arial"/>
          <w:sz w:val="18"/>
          <w:szCs w:val="18"/>
          <w:i w:val="1"/>
          <w:iCs w:val="1"/>
          <w:color w:val="auto"/>
        </w:rPr>
        <w:t xml:space="preserve">2015 Grant. </w:t>
      </w:r>
      <w:r>
        <w:rPr>
          <w:rFonts w:ascii="Arial" w:cs="Arial" w:eastAsia="Arial" w:hAnsi="Arial"/>
          <w:sz w:val="18"/>
          <w:szCs w:val="18"/>
          <w:color w:val="auto"/>
        </w:rPr>
        <w:t>On March 26, 2015, we granted 152,000 shares of unrestricted stock to directors, officers and employees. Half of those shares were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2015 and the remaining 76,000 shares will be issued shortly after December 31, 2015, provided each grantee is serving as a director, officer or employee on that date. The total stock-based compensation expense related to this grant is $682,000, of which $223,000 and $459,000 were charged to expense in the three and nine months ended September 30, 2015, respectively. We anticipate the remaining $223,000 will be charged to expense in the fourth quarter of 2015.</w:t>
      </w:r>
    </w:p>
    <w:p>
      <w:pPr>
        <w:spacing w:after="0" w:line="188" w:lineRule="exact"/>
        <w:rPr>
          <w:sz w:val="20"/>
          <w:szCs w:val="20"/>
          <w:color w:val="auto"/>
        </w:rPr>
      </w:pPr>
    </w:p>
    <w:p>
      <w:pPr>
        <w:jc w:val="both"/>
        <w:ind w:left="492"/>
        <w:spacing w:after="0" w:line="277" w:lineRule="auto"/>
        <w:rPr>
          <w:sz w:val="20"/>
          <w:szCs w:val="20"/>
          <w:color w:val="auto"/>
        </w:rPr>
      </w:pPr>
      <w:r>
        <w:rPr>
          <w:rFonts w:ascii="Arial" w:cs="Arial" w:eastAsia="Arial" w:hAnsi="Arial"/>
          <w:sz w:val="18"/>
          <w:szCs w:val="18"/>
          <w:color w:val="auto"/>
        </w:rPr>
        <w:t>The shares we issued on July 1, 2015 for the first installment of the 2015 grant included 58,862 net shares of common stock after employees surrendered 17,138 shares for which we paid $69,000 of withholding taxes on their behalf.</w:t>
      </w:r>
    </w:p>
    <w:p>
      <w:pPr>
        <w:spacing w:after="0" w:line="170" w:lineRule="exact"/>
        <w:rPr>
          <w:sz w:val="20"/>
          <w:szCs w:val="20"/>
          <w:color w:val="auto"/>
        </w:rPr>
      </w:pPr>
    </w:p>
    <w:p>
      <w:pPr>
        <w:jc w:val="both"/>
        <w:ind w:left="492"/>
        <w:spacing w:after="0" w:line="297" w:lineRule="auto"/>
        <w:rPr>
          <w:sz w:val="20"/>
          <w:szCs w:val="20"/>
          <w:color w:val="auto"/>
        </w:rPr>
      </w:pPr>
      <w:r>
        <w:rPr>
          <w:rFonts w:ascii="Arial" w:cs="Arial" w:eastAsia="Arial" w:hAnsi="Arial"/>
          <w:sz w:val="16"/>
          <w:szCs w:val="16"/>
          <w:i w:val="1"/>
          <w:iCs w:val="1"/>
          <w:color w:val="auto"/>
        </w:rPr>
        <w:t>2014 Grant</w:t>
      </w:r>
      <w:r>
        <w:rPr>
          <w:rFonts w:ascii="Arial" w:cs="Arial" w:eastAsia="Arial" w:hAnsi="Arial"/>
          <w:sz w:val="16"/>
          <w:szCs w:val="16"/>
          <w:color w:val="auto"/>
        </w:rPr>
        <w:t>. In March 2014, we granted 152,000 shares of unrestricted stock to directors, officers and employees. The shares were issued in two equal</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installments shortly after June 30, 2014 and December 31, 2014. We expensed the entire $876,000 stock-based compensation expense related to this grant in 2014. We issued shares of common stock related to this grant as follows: i) 58,769 net shares of common stock were issued in early July 2014 after employees surrendered 17,231 shares for which we paid $113,000 of withholding taxes on their behalf; and ii) 56,804 net shares of common stock were issued in early January 2015 after employees surrendered 19,196 shares for which we paid $87,000 of withholding taxes on their behalf.</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 w:name="page9"/>
    <w:bookmarkEnd w:id="8"/>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a single segment that reports to the chief operating decision makers.</w:t>
      </w:r>
    </w:p>
    <w:p>
      <w:pPr>
        <w:spacing w:after="0" w:line="225" w:lineRule="exact"/>
        <w:rPr>
          <w:rFonts w:ascii="Arial" w:cs="Arial" w:eastAsia="Arial" w:hAnsi="Arial"/>
          <w:sz w:val="18"/>
          <w:szCs w:val="18"/>
          <w:color w:val="auto"/>
        </w:rPr>
      </w:pPr>
    </w:p>
    <w:p>
      <w:pPr>
        <w:ind w:left="332" w:right="20"/>
        <w:spacing w:after="0" w:line="277" w:lineRule="auto"/>
        <w:rPr>
          <w:rFonts w:ascii="Arial" w:cs="Arial" w:eastAsia="Arial" w:hAnsi="Arial"/>
          <w:sz w:val="18"/>
          <w:szCs w:val="18"/>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for the three and nine months ended September 30, 2015 and 2014 (in thousands):</w:t>
      </w:r>
    </w:p>
    <w:p>
      <w:pPr>
        <w:spacing w:after="0" w:line="166" w:lineRule="exact"/>
        <w:rPr>
          <w:sz w:val="20"/>
          <w:szCs w:val="20"/>
          <w:color w:val="auto"/>
        </w:rPr>
      </w:pPr>
    </w:p>
    <w:tbl>
      <w:tblPr>
        <w:tblLayout w:type="fixed"/>
        <w:tblInd w:w="97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United States</w:t>
            </w:r>
          </w:p>
        </w:tc>
        <w:tc>
          <w:tcPr>
            <w:tcW w:w="22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2,579</w:t>
            </w: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4,154</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7,594</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Brazil</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1,810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Rest of World</w:t>
            </w:r>
          </w:p>
        </w:tc>
        <w:tc>
          <w:tcPr>
            <w:tcW w:w="19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3,270</w:t>
            </w:r>
          </w:p>
        </w:tc>
        <w:tc>
          <w:tcPr>
            <w:tcW w:w="2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Borders>
              <w:top w:val="single" w:sz="8" w:color="F0FFFF"/>
            </w:tcBorders>
          </w:tcPr>
          <w:p>
            <w:pPr>
              <w:spacing w:after="0"/>
              <w:rPr>
                <w:sz w:val="18"/>
                <w:szCs w:val="18"/>
                <w:color w:val="auto"/>
              </w:rPr>
            </w:pPr>
          </w:p>
        </w:tc>
        <w:tc>
          <w:tcPr>
            <w:tcW w:w="19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Revenue by product group for the three and nine months ended September 30, 2015 and 2014 was (in thousands):</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Biometrics</w:t>
            </w:r>
          </w:p>
        </w:tc>
        <w:tc>
          <w:tcPr>
            <w:tcW w:w="22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3,575</w:t>
            </w: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5,510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11,306</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Imaging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shd w:val="clear" w:color="auto" w:fill="F0FFFF"/>
          </w:tcPr>
          <w:p>
            <w:pPr>
              <w:spacing w:after="0"/>
              <w:rPr>
                <w:sz w:val="20"/>
                <w:szCs w:val="20"/>
                <w:color w:val="auto"/>
              </w:rPr>
            </w:pPr>
            <w:r>
              <w:rPr>
                <w:rFonts w:ascii="Arial" w:cs="Arial" w:eastAsia="Arial" w:hAnsi="Arial"/>
                <w:sz w:val="18"/>
                <w:szCs w:val="18"/>
                <w:color w:val="auto"/>
              </w:rPr>
              <w:t>DSL royalties</w:t>
            </w:r>
          </w:p>
        </w:tc>
        <w:tc>
          <w:tcPr>
            <w:tcW w:w="19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Borders>
              <w:top w:val="single" w:sz="8" w:color="F0FFFF"/>
            </w:tcBorders>
          </w:tcPr>
          <w:p>
            <w:pPr>
              <w:spacing w:after="0"/>
              <w:rPr>
                <w:sz w:val="18"/>
                <w:szCs w:val="18"/>
                <w:color w:val="auto"/>
              </w:rPr>
            </w:pPr>
          </w:p>
        </w:tc>
        <w:tc>
          <w:tcPr>
            <w:tcW w:w="19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6,027</w:t>
            </w: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32" w:hanging="332"/>
        <w:spacing w:after="0" w:line="288"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May 2014, the FASB issued ASU 2014-09, Revenue from Contracts with Customers (Topic 606). The ASU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On July 9, 2015, the FASB voted to delay the effective date of the new revenue standard by one year, but to permit entities to choose to adopt the standard as of the original effective date. We are currently evaluating the effect that the updated standard will have on our consolidated financial statements and related disclosures.</w:t>
      </w:r>
    </w:p>
    <w:p>
      <w:pPr>
        <w:spacing w:after="0" w:line="169" w:lineRule="exact"/>
        <w:rPr>
          <w:rFonts w:ascii="Arial" w:cs="Arial" w:eastAsia="Arial" w:hAnsi="Arial"/>
          <w:sz w:val="16"/>
          <w:szCs w:val="16"/>
          <w:color w:val="auto"/>
        </w:rPr>
      </w:pPr>
    </w:p>
    <w:p>
      <w:pPr>
        <w:ind w:left="332" w:right="20"/>
        <w:spacing w:after="0" w:line="277" w:lineRule="auto"/>
        <w:rPr>
          <w:rFonts w:ascii="Arial" w:cs="Arial" w:eastAsia="Arial" w:hAnsi="Arial"/>
          <w:sz w:val="16"/>
          <w:szCs w:val="16"/>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September 30, 2015.</w:t>
      </w:r>
    </w:p>
    <w:p>
      <w:pPr>
        <w:spacing w:after="0" w:line="166" w:lineRule="exact"/>
        <w:rPr>
          <w:rFonts w:ascii="Arial" w:cs="Arial" w:eastAsia="Arial" w:hAnsi="Arial"/>
          <w:sz w:val="16"/>
          <w:szCs w:val="16"/>
          <w:color w:val="auto"/>
        </w:rPr>
      </w:pPr>
    </w:p>
    <w:p>
      <w:pPr>
        <w:ind w:left="332" w:hanging="332"/>
        <w:spacing w:after="0" w:line="313"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Income tax expense was $1.6 million and $2.6 million for the three and nine months ended September 30, 2014, respectively.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in the three and nine month periods of 2014 was based on the U.S. statutory rate of 34%, increased by state income taxes.</w:t>
      </w:r>
    </w:p>
    <w:p>
      <w:pPr>
        <w:spacing w:after="0" w:line="142" w:lineRule="exact"/>
        <w:rPr>
          <w:rFonts w:ascii="Arial" w:cs="Arial" w:eastAsia="Arial" w:hAnsi="Arial"/>
          <w:sz w:val="17"/>
          <w:szCs w:val="17"/>
          <w:color w:val="auto"/>
        </w:rPr>
      </w:pPr>
    </w:p>
    <w:p>
      <w:pPr>
        <w:jc w:val="both"/>
        <w:ind w:left="332"/>
        <w:spacing w:after="0" w:line="312" w:lineRule="auto"/>
        <w:rPr>
          <w:rFonts w:ascii="Arial" w:cs="Arial" w:eastAsia="Arial" w:hAnsi="Arial"/>
          <w:sz w:val="17"/>
          <w:szCs w:val="17"/>
          <w:color w:val="auto"/>
        </w:rPr>
      </w:pPr>
      <w:r>
        <w:rPr>
          <w:rFonts w:ascii="Arial" w:cs="Arial" w:eastAsia="Arial" w:hAnsi="Arial"/>
          <w:sz w:val="16"/>
          <w:szCs w:val="16"/>
          <w:color w:val="auto"/>
        </w:rPr>
        <w:t>We recorded income tax benefits in the three and nine month periods ended September 30, 2015 of $1.7 million and $1.4 million, respectively. Income tax benefits in the three and nine month periods of 2015 were the result of a $1.9 million tax benefit from the reversal of a reserve for uncertain tax positions, which was partially offset by taxes on pre-tax income based on the U.S. statutory rate of 34%, increased by state income taxes.</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 w:name="page10"/>
    <w:bookmarkEnd w:id="9"/>
    <w:p>
      <w:pPr>
        <w:jc w:val="both"/>
        <w:ind w:left="340"/>
        <w:spacing w:after="0" w:line="259" w:lineRule="auto"/>
        <w:rPr>
          <w:sz w:val="20"/>
          <w:szCs w:val="20"/>
          <w:color w:val="auto"/>
        </w:rPr>
      </w:pPr>
      <w:r>
        <w:rPr>
          <w:rFonts w:ascii="Arial" w:cs="Arial" w:eastAsia="Arial" w:hAnsi="Arial"/>
          <w:sz w:val="18"/>
          <w:szCs w:val="18"/>
          <w:color w:val="auto"/>
        </w:rPr>
        <w:t>As previously reported, the Internal Revenue Service (“IRS”) commenced an examination of our tax return for the year ended December 31, 2012 in September 2014. In July 2015, the IRS notified us that it had completed its examination and that it had no changes to our reported tax. As a result of the completion of the IRS examination, we determined that a $1.9 million reserve for uncertain tax positions we had established on federal research and development credits was no longer required. We reversed the reserve in the current quarter.</w:t>
      </w:r>
    </w:p>
    <w:p>
      <w:pPr>
        <w:spacing w:after="0" w:line="18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In the nine month periods ended September 30, 2015 and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$0.4 million and $1.5 million in the nine month periods ended September 30, 2015 and 2014, respectively. These tax benefits were recorded as an equity adjustment to additional paid-in capital.</w:t>
      </w:r>
    </w:p>
    <w:p>
      <w:pPr>
        <w:spacing w:after="0" w:line="1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September 30, 2015,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In addition to deferred tax assets carried on our balance sheet, we also had net federal and state research and development credit carryforwards available at December 31, 2014 of $4.0 million and $0.3 million. Federal credits of $4.0 million would be adjusted to $5.9 million after giving effect to the current quarter reversal of the reserve for uncertain tax positions. Our federal and state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$0.4 million and $1.5 million equity adjustment to additional paid-in capital in the nine month periods ended September 30, 2015 and 2014 were related to these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i w:val="1"/>
          <w:iCs w:val="1"/>
          <w:color w:val="auto"/>
        </w:rPr>
        <w:t>Accumulated Other Comprehensive Loss.</w:t>
      </w:r>
      <w:r>
        <w:rPr>
          <w:rFonts w:ascii="Arial" w:cs="Arial" w:eastAsia="Arial" w:hAnsi="Arial"/>
          <w:sz w:val="17"/>
          <w:szCs w:val="17"/>
          <w:color w:val="auto"/>
        </w:rPr>
        <w:t xml:space="preserve"> The components of accumulated other comprehensive loss and activity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88"/>
              </w:rPr>
              <w:t>December 31,</w:t>
            </w:r>
          </w:p>
        </w:tc>
        <w:tc>
          <w:tcPr>
            <w:tcW w:w="2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w w:val="99"/>
              </w:rPr>
              <w:t>Increase/</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6"/>
              </w:rPr>
              <w:t>Decrease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2"/>
              </w:rPr>
              <w:t>Adjustments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Unrealized losses on available for sale securities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Unrealized gains on available for sale securities</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unrealized gains (losses) on available for sale securities</w:t>
            </w:r>
          </w:p>
        </w:tc>
        <w:tc>
          <w:tcPr>
            <w:tcW w:w="100" w:type="dxa"/>
            <w:vAlign w:val="bottom"/>
            <w:shd w:val="clear" w:color="auto" w:fill="F0FFFF"/>
          </w:tcPr>
          <w:p>
            <w:pPr>
              <w:spacing w:after="0"/>
              <w:rPr>
                <w:sz w:val="22"/>
                <w:szCs w:val="22"/>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F0FFFF"/>
          </w:tcPr>
          <w:p>
            <w:pPr>
              <w:spacing w:after="0"/>
              <w:rPr>
                <w:sz w:val="22"/>
                <w:szCs w:val="22"/>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F0FFFF"/>
          </w:tcPr>
          <w:p>
            <w:pPr>
              <w:spacing w:after="0"/>
              <w:rPr>
                <w:sz w:val="22"/>
                <w:szCs w:val="22"/>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(a)</w:t>
            </w:r>
          </w:p>
        </w:tc>
        <w:tc>
          <w:tcPr>
            <w:tcW w:w="140" w:type="dxa"/>
            <w:vAlign w:val="bottom"/>
            <w:shd w:val="clear" w:color="auto" w:fill="F0FFFF"/>
          </w:tcPr>
          <w:p>
            <w:pPr>
              <w:spacing w:after="0"/>
              <w:rPr>
                <w:sz w:val="22"/>
                <w:szCs w:val="22"/>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benefit (expense) on other comprehensive loss</w:t>
            </w:r>
          </w:p>
        </w:tc>
        <w:tc>
          <w:tcPr>
            <w:tcW w:w="10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accumulated other comprehensive loss, net of taxes</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Classified in other income.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2014,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primarily engaged in the development and sale of biometrics products and services. Our software products are used in government and commercial biometrics systems to identify or authenticate people. Principal government applications of biometrics systems include border control, law enforcement, national defense, secure credentialing, access control, and background checks. Principal commercial applications include: i) user authentication for login and access to mobile devices, computers, networks, and software programs; ii) user authentication for financial transactions and purchases (online and in-person);</w:t>
      </w:r>
    </w:p>
    <w:p>
      <w:pPr>
        <w:spacing w:after="0" w:line="2" w:lineRule="exact"/>
        <w:rPr>
          <w:sz w:val="20"/>
          <w:szCs w:val="20"/>
          <w:color w:val="auto"/>
        </w:rPr>
      </w:pPr>
    </w:p>
    <w:p>
      <w:pPr>
        <w:jc w:val="both"/>
        <w:ind w:firstLine="8"/>
        <w:spacing w:after="0" w:line="255"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physical access control to buildings, and iv) screening and background checks of prospective employees and customers. We sell our software and services globally through systems integrators and OEMs, and directly to end user customers. We also derive a minor portion of our revenue from the sale of imaging software to OEMs that incorporate that software into medical imaging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and net income for the three months ended September 30, 2015 were $4.0 million and $2.2 million, respectively. These results compared to revenue of $6.0 million and net income of $2.6 million in the three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Lower revenue in the current quarter was primarily due to:</w:t>
      </w:r>
    </w:p>
    <w:p>
      <w:pPr>
        <w:spacing w:after="0" w:line="225" w:lineRule="exact"/>
        <w:rPr>
          <w:sz w:val="20"/>
          <w:szCs w:val="20"/>
          <w:color w:val="auto"/>
        </w:rPr>
      </w:pPr>
    </w:p>
    <w:p>
      <w:pPr>
        <w:ind w:left="420" w:hanging="25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 million decrease in sales of software licenses from $3.1 million in the year ago quarter to $2.1 million in the current quarter; and</w:t>
      </w:r>
    </w:p>
    <w:p>
      <w:pPr>
        <w:spacing w:after="0" w:line="23" w:lineRule="exact"/>
        <w:rPr>
          <w:rFonts w:ascii="Arial" w:cs="Arial" w:eastAsia="Arial" w:hAnsi="Arial"/>
          <w:sz w:val="18"/>
          <w:szCs w:val="18"/>
          <w:color w:val="auto"/>
        </w:rPr>
      </w:pPr>
    </w:p>
    <w:p>
      <w:pPr>
        <w:ind w:left="420" w:hanging="25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$0.9 million decrease in services revenue from $1.6 million in the year ago quarter to $0.7 million in the current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Lower net income in the current quarter was primarily due to:</w:t>
      </w:r>
    </w:p>
    <w:p>
      <w:pPr>
        <w:spacing w:after="0" w:line="225"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sales of software and services;</w:t>
      </w:r>
    </w:p>
    <w:p>
      <w:pPr>
        <w:spacing w:after="0" w:line="23" w:lineRule="exact"/>
        <w:rPr>
          <w:rFonts w:ascii="Arial" w:cs="Arial" w:eastAsia="Arial" w:hAnsi="Arial"/>
          <w:sz w:val="18"/>
          <w:szCs w:val="18"/>
          <w:color w:val="auto"/>
        </w:rPr>
      </w:pPr>
    </w:p>
    <w:p>
      <w:pPr>
        <w:ind w:left="500" w:right="20" w:hanging="330"/>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year ago quarter included $2.1 million of patent related income from the sale of patents, whereas the current quarter did not include any patent related income.</w:t>
      </w:r>
    </w:p>
    <w:p>
      <w:pPr>
        <w:ind w:left="500" w:right="20" w:hanging="330"/>
        <w:spacing w:after="0" w:line="261"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lower sales and patent related income in the current period was partially offset by a $1.9 million tax benefit adjustment related to the reversal of a reserve for uncertain tax positions.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Revenue and net income for the nine months ended September 30, 2015 were $12.7 million and $2.8 million, respectively. These results compared to revenue of $19.4 million and net income of $4.3 million in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Lower revenue in the current nine month period was primarily due to:</w:t>
      </w:r>
    </w:p>
    <w:p>
      <w:pPr>
        <w:spacing w:after="0" w:line="225" w:lineRule="exact"/>
        <w:rPr>
          <w:sz w:val="20"/>
          <w:szCs w:val="20"/>
          <w:color w:val="auto"/>
        </w:rPr>
      </w:pPr>
    </w:p>
    <w:p>
      <w:pPr>
        <w:ind w:left="420" w:hanging="250"/>
        <w:spacing w:after="0" w:line="258"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$0.8 million decrease in sales of software licenses from $6.8 million in the nine month period in 2014 to $6.0 million in the same nine month period in 2015;</w:t>
      </w:r>
    </w:p>
    <w:p>
      <w:pPr>
        <w:spacing w:after="0" w:line="1" w:lineRule="exact"/>
        <w:rPr>
          <w:rFonts w:ascii="Arial" w:cs="Arial" w:eastAsia="Arial" w:hAnsi="Arial"/>
          <w:sz w:val="18"/>
          <w:szCs w:val="18"/>
          <w:color w:val="auto"/>
        </w:rPr>
      </w:pPr>
    </w:p>
    <w:p>
      <w:pPr>
        <w:ind w:left="420" w:right="20" w:hanging="250"/>
        <w:spacing w:after="0" w:line="250"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$1.2 million decrease in services revenue from $3.9 million in the nine month period in 2014 to $2.7 million in the same nine month period in 2015; and</w:t>
      </w:r>
    </w:p>
    <w:p>
      <w:pPr>
        <w:ind w:left="420" w:hanging="250"/>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$4.8 million decrease in hardware sales from $4.8 million in the nine month period in 2014 to zero in the same nine month period in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Lower net income in the current nine month period was primarily due to:</w:t>
      </w:r>
    </w:p>
    <w:p>
      <w:pPr>
        <w:spacing w:after="0" w:line="225"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sales of software, services and hardware;</w:t>
      </w:r>
    </w:p>
    <w:p>
      <w:pPr>
        <w:spacing w:after="0" w:line="23" w:lineRule="exact"/>
        <w:rPr>
          <w:rFonts w:ascii="Arial" w:cs="Arial" w:eastAsia="Arial" w:hAnsi="Arial"/>
          <w:sz w:val="18"/>
          <w:szCs w:val="18"/>
          <w:color w:val="auto"/>
        </w:rPr>
      </w:pPr>
    </w:p>
    <w:p>
      <w:pPr>
        <w:ind w:left="500" w:right="20" w:hanging="330"/>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year ago nine month period included $2.1 million of patent related income from the sale of patents, whereas the current year period did not include any patent related income.</w:t>
      </w:r>
    </w:p>
    <w:p>
      <w:pPr>
        <w:ind w:left="500" w:hanging="330"/>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lower sales and patent related income in the current nine month period was partially offset by a $1.9 million tax benefit adjustment related to the reversal of a reserve for uncertain tax positions.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and all other financial results are discussed in more detail in the results of operations section that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win proposals to supply software for biometrics systems projects either directly to end user customers or indirectly through channel partners.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license revenue decreased 33% from $3.1 million in the three months ended September 30, 2014 to $2.1 million in the same three month period in 2015. As a percentage of total revenue, software license revenue was unchanged at 51% in both quarters.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license revenue decreased 11% from $6.8 million in the nine months ended September 30, 2014 to $6.0 million in the same nine month period in 2015. As a percentage of total revenue, software license revenue increased from 35% in the first nine months of 2014 to 47% in the corresponding period of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decrease in software license revenue was primarily due to a $1.0 million sale to a government agency in the third quarter of 2014. We did not have a government sale of that magnitude in 2015.</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Software license revenue in 2015 includes revenue from two customers that are developing commercial biometric systems. As described in the strategy section of our Form 10-K for the year ended December 31, 2014, our market strategy is to continue to focus on our legacy government biometrics markets and expand into new commercial biometrics markets. While we derived a meaningful amount of license and services revenue from commercial customers in the first nine months of 2015, we are unable to predict future revenue from commercial markets as these are emerging markets for us.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maintenance revenue increased 12% from $1.1 million in the three months ended September 30, 2014 to $1.2 million in the same three month period in 2015. As a percentage of total revenue, software maintenance revenue increased from 18% in the third quarter of 2014 to 30% in the current year quarter.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Software maintenance revenue increased 11% from $3.3 million in the nine months ended September 30, 2014 to $3.7 million in the same nine month period in 2015. As a percentage of total revenue, software maintenance revenue increased from 17% in the first nine months of 2014 to 29% in the corresponding period of 2015.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 periods ended September 30, 2015, the dollar increase in software maintenance revenue was primarily due to a base of maintenance revenue from contract renewals from prior periods that grows as we sell maintenance contracts with new licenses in current periods.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consist of fees we charge to perform software development, integration, installation, and customization services. Similar to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 services revenue depends on our ability to win biometrics systems projects either directly with end user customers or in conjunction with channel partners. Services revenue will fluctuate when we commence new projects and/or when we complete projects that were started in previous periods.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decreased 60% from $1.6 million in the three months ended September 30, 2014 to $0.7 million in the same three month period in 2015. As a percentage of total revenue, services decreased from 26% in the third quarter of 2014 to 16% in the current year quarter.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Services decreased 31% from $3.9 million in the nine months ended September 30, 2014 to $2.7 million in the same nine month period in 2015. As a percentage of total revenue, services increased from 20% in the first nine months of 2014 to 22% in the corresponding period of 2015.</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and nine month periods ended September 30, 2015, the dollar decrease in services was primarily due to lower revenue from projects with three direct U.S. government customers. The larger of those projects has contributed significantly to quarterly services revenue since its commencement in 2013. This project began to wind down in the second quarter of 2015 and was completed in the third quarter of 2015. Lower services revenue from these government projects was partially offset by higher revenue from two projects with customers that are developing biometrics systems for commercial applications. These commercial projects are the same as those mentioned in the software license section above.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revenue in the fourth quarter of 2015 is likely to decline compared to the comparable period in 2014 as two of the three government projects described above have been completed.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Hardware. </w:t>
      </w:r>
      <w:r>
        <w:rPr>
          <w:rFonts w:ascii="Arial" w:cs="Arial" w:eastAsia="Arial" w:hAnsi="Arial"/>
          <w:sz w:val="17"/>
          <w:szCs w:val="17"/>
          <w:color w:val="auto"/>
        </w:rPr>
        <w:t>Hardware revenue consists of sales of biometrics equipment to a single U.S. government customer for whom we developed biometrics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sales decreased 100% from $0.1 million in the three months ended September 30, 2014 to zero in the same three month period in 2015. As a percentage of total revenue, hardware sales decreased from 2% in the third quarter of 2014 to 0% in the current year quarter.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Hardware sales decreased 100% from $4.8 million in the nine months ended September 30, 2014 to zero in the same nine month period in 2015. As a percentage of total revenue, hardware sales decreased from 25% in the first nine months of 2014 to 0% in the corresponding period of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decrease in hardware sales was due to the fact that we delivered no hardware to our government customer through September 30,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received a $1.1 million hardware order that we expect to deliver in the fourth quarter of 2015. In September 2015, we received another hardware order for $0.3 million that we expect to deliver over the next quarter or two. Notwithstanding these orders, future orders from this customer may be minimal as we believe it has completed the bulk of its purchasing. Despite this expectation, we are unable to predict future hardware sales with any degree of certainty because forecasting our customer’s demand is difficult.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It is worth noting that our strategy does not include maintaining or growing biometrics hardware revenue. We agreed to provide hardware products as an accommodation to an important customer.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primarily of royalty payments we receive under DSL silicon contracts with two customers that incorporate our silicon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(“IP”) in their DSL chipsets. We sold our DSL IP business in 2009, but we continue to receive royalty payments from these customers. Royalties are reported in continuing operations in accordance with ASC 205-20, Reporting Discontinued Operations, because we have continuing ongoing cash flows from this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37% from $148,000 in the three months ended September 30, 2014 to $93,000 in the same three month period in 2015. As a percentage of total revenue, royalties were unchanged at 2% in the third quarters of 2014 and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52% from $626,000 in the nine months ended September 30, 2014 to $299,000 in the same nine month period in 2015. As a percentage of total revenue, royalties decreased from 3% in the first nine months of 2014 to 2% in the corresponding period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consider DSL royalties to be a key element of our business and we expect that this revenue will continue to decline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Cost of hardware. </w:t>
      </w:r>
      <w:r>
        <w:rPr>
          <w:rFonts w:ascii="Arial" w:cs="Arial" w:eastAsia="Arial" w:hAnsi="Arial"/>
          <w:sz w:val="18"/>
          <w:szCs w:val="18"/>
          <w:color w:val="auto"/>
        </w:rPr>
        <w:t>Cost of hardware consists primarily of the cost of third party equipment and software included in hardware shipments.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hardware sales decreased 100% from $90,000 in the three months ended September 30, 2014 to zero in the same three month period in 2015. Cost of hardware as a percentage of hardware sales was 68% in the prior year quarter, which means that product gross margins were 32% in the third quarter of 2014.</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hardware sales decreased 100% from $3.4 million in the nine months ended September 30, 2014 to zero in the same nine month period in 2015. Cost of hardware as a percentage of hardware sales was 71% in the first nine months of 2014, which means that product gross margins were 29% in that period.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decrease in cost of hardware was due to the lack of hardware shipments in the current year periods.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perform customer services projects. Such costs primarily include: i) engineering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fringe benefits, and facilities; and ii) engineering consultants and contractors.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32% from $615,000 in the three months ended September 30, 2014 to $416,000 in the same three month period in 2015. Cost of services as a percentage of services increased from 39% in the third quarter of 2014 to 64% in the current quarter, which means that gross margins on services decreased from 61% to 36%.</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services decreased 10% from $1.7 million in the nine months ended September 30, 2014 to $1.5 million in the same nine month period in 2015. Cost of services as a percentage of services increased from 43% in the first nine months of 2014 to 56% in the corresponding period in 2015, which means that gross margins on services decreased from 57% to 44%.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decrease in cost of services was due to lower services revenue. The decline in the services margin percentages was primarily due to two factors:</w:t>
      </w:r>
    </w:p>
    <w:p>
      <w:pPr>
        <w:spacing w:after="0" w:line="170" w:lineRule="exact"/>
        <w:rPr>
          <w:sz w:val="20"/>
          <w:szCs w:val="20"/>
          <w:color w:val="auto"/>
        </w:rPr>
      </w:pPr>
    </w:p>
    <w:p>
      <w:pPr>
        <w:ind w:left="660" w:hanging="247"/>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described in the services revenue section above, we completed a large project with a U.S. government customer in the third quarter of 2015. We incurred unexpected labor hours to resolve issues identified during final software testing. We believe those issues were resolved in the third quarter.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color w:val="auto"/>
        </w:rPr>
        <w:t>ii) We also incurred more labor hours on several other customer projects than we expected at the time we quoted those projects.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3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86"/>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Research and development expense</w:t>
            </w:r>
          </w:p>
        </w:tc>
        <w:tc>
          <w:tcPr>
            <w:tcW w:w="820" w:type="dxa"/>
            <w:vAlign w:val="bottom"/>
            <w:shd w:val="clear" w:color="auto" w:fill="F0FFFF"/>
          </w:tcPr>
          <w:p>
            <w:pPr>
              <w:jc w:val="right"/>
              <w:ind w:right="65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1,489</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3"/>
              </w:rPr>
              <w:t>1,381</w:t>
            </w:r>
          </w:p>
        </w:tc>
        <w:tc>
          <w:tcPr>
            <w:tcW w:w="920" w:type="dxa"/>
            <w:vAlign w:val="bottom"/>
            <w:gridSpan w:val="2"/>
            <w:shd w:val="clear" w:color="auto" w:fill="F0FFFF"/>
          </w:tcPr>
          <w:p>
            <w:pPr>
              <w:jc w:val="right"/>
              <w:ind w:right="63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3"/>
              </w:rPr>
              <w:t>4,364</w:t>
            </w:r>
          </w:p>
        </w:tc>
        <w:tc>
          <w:tcPr>
            <w:tcW w:w="920" w:type="dxa"/>
            <w:vAlign w:val="bottom"/>
            <w:gridSpan w:val="2"/>
            <w:shd w:val="clear" w:color="auto" w:fill="F0FF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3"/>
              </w:rPr>
              <w:t>4,060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services</w:t>
            </w:r>
          </w:p>
        </w:tc>
        <w:tc>
          <w:tcPr>
            <w:tcW w:w="8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1,697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engineering costs</w:t>
            </w:r>
          </w:p>
        </w:tc>
        <w:tc>
          <w:tcPr>
            <w:tcW w:w="820" w:type="dxa"/>
            <w:vAlign w:val="bottom"/>
            <w:tcBorders>
              <w:top w:val="single" w:sz="8" w:color="auto"/>
              <w:bottom w:val="single" w:sz="8" w:color="auto"/>
            </w:tcBorders>
            <w:shd w:val="clear" w:color="auto" w:fill="F0FFFF"/>
          </w:tcPr>
          <w:p>
            <w:pPr>
              <w:jc w:val="right"/>
              <w:ind w:right="65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1,905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1,996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0" w:type="dxa"/>
            <w:vAlign w:val="bottom"/>
            <w:tcBorders>
              <w:top w:val="single" w:sz="8" w:color="auto"/>
              <w:bottom w:val="single" w:sz="8" w:color="auto"/>
            </w:tcBorders>
            <w:shd w:val="clear" w:color="auto" w:fill="F0FFFF"/>
          </w:tcPr>
          <w:p>
            <w:pPr>
              <w:jc w:val="right"/>
              <w:ind w:right="63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5,896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5,757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8% from $1.4 million in the three months ended September 30, 2014 to $1.5 million in the same three month period in 2015. As a percentage of total revenue, research and development expense increased from 23% in the third quarter of 2014 to 37% in the corresponding period of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7% from $4.1 million in the nine months ended September 30, 2014 to $4.4 million in the same nine month period in 2015. As a percentage of total revenue, research and development expense increased from 21% in the first nine months of 2014 to 34% in the corresponding period of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increase in research and development expense was primarily due to engineers rotating off customer projects onto internal development projects.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table immediately above indicates, total engineering costs in the three month period ended September 30, 2015 were $0.1 million lower than the corresponding period in 2014. The slight spending decline was primarily due to lower spending on contractors which was partially offset by a small number of net headcount additions. Lower contractor spending was the result of two actions: i) in the second quarter of 2015, we terminated several contractors who worked on the large project with the U.S. government; and ii) at the end of the third quarter of 2014, we terminated several contractors who worked on internal development projects.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engineering costs in the nine month period ended September 30, 2015 were $0.1 million higher than the corresponding period in 2014. The spending increase in the current nine month period primarily reflects increased spending on several 2015 headcount additions that were mostly offset by lower spending on the aforementioned contractors and recruiting fees.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the strategy section of our Form 10-K for the year ended December 31, 2014, we intend to offer more complete biometrics solutions by expanding our product portfolio. We believe this will allow us to sell more software and services into biometrics projects. Our preference is to develop such products internally, however to the extent we are unable to do that, we may purchase or license technologies from third parties. Engineering spending in the first nine months of 2015 is a reflection of this strategy. We anticipate that we will continue to focus our future research and development activities on enhancing our existing products and developing new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and marketing expense decreased 13% from $1.0 million in the three months ended September 30, 2014 to $0.8 million in the same three month period of 2015. As a percentage of total revenue, sales and marketing expense increased from 16% in the third quarter of 2014 to 21% in the corresponding period of 2015. The dollar decrease in selling and marketing expense was primarily due to lower sales commissions on lower revenue.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and marketing expense increased 3% from $2.8 million in the nine months ended September 30, 2014 to $2.9 million in the same nine month period of 2015. As a percentage of total revenue, sales and marketing expense increased from 14% in the first nine months of 2014 to 23% in the corresponding period of 2015. The dollar increase in selling and marketing expense was primarily due the addition of one employee in our sales organization over the past year.</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General and administrative expense decreased 9% from $940,000 in the three months ended September 30, 2014 to $858,000 in the same three month period of 2015. As a percentage of total revenue, general and administrative expense increased from 16% in the third quarter of 2014 to 21% in the current year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4% from $2.7 million in the nine months ended September 30, 2014 to $2.6 million in the same nine month period in 2015. As a percentage of total revenue, general and administrative expense increased from 14% in the first nine months of 2014 to 21% in the corresponding period in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ended September 30, 2015, the dollar decrease in general and administrative expense was primarily due to lower stock-based compensation and patent filing costs.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Patent related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had no patent related income in the three and nine months ended September 30, 2015, and $2.1 million of such income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nine months ended September 30,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 related income in 2014 consisted of a gain on the sale of patent assets. We sold a portion of our patent portfolio pertaining to DSL diagnostic technology to an unrelated third party for $2.6 million. The proceeds from the sale were reduced by $0.5 million of transaction costs, which consisted primarily of fees from the law firm that assisted us in the sale. We recorded a gain of $2.1 million on the sale.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DSL diagnostic technology in these patents was related to our DSL Service Assurance business that we shut down in 2012 and 2013 and reported in discontinued operations in those periods. We do not consider our patent related activities to be a component of the operating business from which the underlying technology was derived, but rather as a component of corporate general and administrative expenses. Accordingly the gain on the sale of these patents was reported in income from continuing operations pursuant to ASC 360, Impairment or Disposal of Long-Lived Assets, and Rule 5-03 of Regulation S-X.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r>
        <w:rPr>
          <w:rFonts w:ascii="Arial" w:cs="Arial" w:eastAsia="Arial" w:hAnsi="Arial"/>
          <w:sz w:val="18"/>
          <w:szCs w:val="18"/>
          <w:color w:val="auto"/>
        </w:rPr>
        <w:t>. We did not record any other income/(expense) in the three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recorded $12,000 of other income in the nine months ended September 30, 2015. This income represented a realized gain on the sale of a high yield bond.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We recorded $59,000 of other expense in the nine months ended September 30, 2014. This expense represented realized losses on the sale of two high yield bonds.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19% from $43,000 in three months ended September 30, 2014 to $35,000 in the same three month period in 2015.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decreased 40% from $182,000 in the nine months ended September 30, 2014 to $109,000 in the same nine month period in 2015.</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 periods, the dollar decrease in interest income was primarily due to two factors: i) lower levels of high yield bond investments in 2015 as compared to 2014; and ii) lower cash balances as a result of a $39.9 million dividend payment in July 2014.</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Income tax expense was $1.6 million and $2.6 million for the three and nine months ended September 30, 2014, respectively.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in the three and nine month periods of 2014 was based on the U.S. statutory rate of 34%, increased by state income taxes.</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income tax benefits in the three and nine month periods ended September 30, 2015 of $1.7 million and $1.4 million, respectively. Income tax benefits in the three and nine month periods of 2015 were the result of a $1.9 million tax benefit from the reversal of a reserve for uncertain tax positions, which was partially offset by taxes on pre-tax income based on the U.S. statutory rate of 34%, increased by state income taxes.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reported, the Internal Revenue Service (“IRS”) commenced an examination of our tax return for the year ended December 31, 2012 in September 2014. In July 2015, the IRS notified us that it had completed its examination and that it had no changes to our reported tax. As a result of the completion of the IRS examination, we determined that a $1.9 million reserve for uncertain tax positions we had established on federal research and development credits was no longer required. We reversed the reserve in the current quarter.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nine month periods ended September 30, 2015 and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$0.4 million and $1.5 million in the nine month periods ended September 30, 2015 and 2014, respectively. These tax benefits were recorded as an equity adjustment to additional paid-in capital.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deferred tax assets carried on our balance sheet, we also had net federal and state research and development credit carryforwards available at December 31, 2014 of $4.0 million and $0.3 million. Federal credits of $4.0 million would be adjusted to $5.9 million after giving effect to the current quarter reversal of the reserve for uncertain tax positions. Our federal and state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$0.4 million and $1.5 million equity adjustment to additional paid-in capital in the nine month periods ended September 30, 2015 and 2014 were related to these deferred tax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2015, we had cash and cash equivalents of $46.4 million, which represented an increase of $2.4 million from December 31, 2014. The increase in cash and cash equivalents was primarily due to the following factors: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provided by operations was $2.1 million in the first nine months of 2015, which was after a reduction of $413,000 for non-cash excess tax benefits from stock-based compensation included in prepaid expenses. Cash provided by operations was primarily the result of: i) net income; ii) the add back of non-cash items for depreciation, amortization, and stock-based compensation; and iii) the reduction of accounts receivables through collections. These positive cash flow factors were partially offset by a $0.6 million increase in inventory. The inventory was for an order we expected to deliver next quarter.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of $92,000 consisted of $529,000 from sales of investments less $320,000 used to purchase a technology license and $117,000 of purchases of property and equipment.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of $279,000 consisted of: i) $413,000 of excess tax benefits from stock-based compensation; and ii) $22,000 of proceeds from our employee stock purchase plan. Cash provided by these two activities was partially offset by $156,000 of cash used to pay income taxes for employees who surrendered shares in connection with stock grants.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G to our Consolidated Financial Statements in Item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September 30, 2015 consisted of two elements:</w:t>
      </w:r>
    </w:p>
    <w:p>
      <w:pPr>
        <w:spacing w:after="0" w:line="170" w:lineRule="exact"/>
        <w:rPr>
          <w:sz w:val="20"/>
          <w:szCs w:val="20"/>
          <w:color w:val="auto"/>
        </w:rPr>
      </w:pPr>
    </w:p>
    <w:p>
      <w:pPr>
        <w:jc w:val="both"/>
        <w:ind w:left="340" w:right="2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2015, our cash and cash equivalents of $46.4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2015, our investments of $0.9 million were invested in high yield bonds with two corporate debt issuers, which mature</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and 2018. While we are exposed to default risk, the high current yield of these bonds largely mitigates interest rate risk. Therefore, due to the high current yield and the three to four year life of these instruments, we do not believe that a general increase in interest rates would result in any material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2014,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25" w:lineRule="exact"/>
        <w:rPr>
          <w:sz w:val="20"/>
          <w:szCs w:val="20"/>
          <w:color w:val="auto"/>
        </w:rPr>
      </w:pPr>
    </w:p>
    <w:p>
      <w:pPr>
        <w:jc w:val="both"/>
        <w:ind w:left="1960" w:hanging="1296"/>
        <w:spacing w:after="0" w:line="277" w:lineRule="auto"/>
        <w:tabs>
          <w:tab w:leader="none" w:pos="194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25" w:lineRule="exact"/>
        <w:rPr>
          <w:sz w:val="20"/>
          <w:szCs w:val="20"/>
          <w:color w:val="auto"/>
        </w:rPr>
      </w:pPr>
    </w:p>
    <w:p>
      <w:pPr>
        <w:jc w:val="both"/>
        <w:ind w:left="1960" w:hanging="1296"/>
        <w:spacing w:after="0" w:line="276" w:lineRule="auto"/>
        <w:tabs>
          <w:tab w:leader="none" w:pos="19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The following financial statements from Aware, Inc.’s Quarterly Report on Form 10-Q for the quarter ended September 30, 2015, formatted in XBRL (eXtensible Business Reporting Language), as follows: (i) Consolidated Balance Sheets as of September 30, 2015 and December 31, 2014, (ii) Consolidated Statements of Income and Comprehensive Income for the Three and Nine Months Ended September 30, 2015 and September 30, 2014, (iii) Consolidated Statements of Cash Flows for the Nine Months Ended September 30, 2015 and September 30, 2014, and (iv) Notes to Consolidated Financial Statements.</w:t>
      </w:r>
    </w:p>
    <w:p>
      <w:pPr>
        <w:spacing w:after="0" w:line="173" w:lineRule="exact"/>
        <w:rPr>
          <w:sz w:val="20"/>
          <w:szCs w:val="20"/>
          <w:color w:val="auto"/>
        </w:rPr>
      </w:pPr>
    </w:p>
    <w:p>
      <w:pPr>
        <w:ind w:firstLine="8"/>
        <w:spacing w:after="0" w:line="342" w:lineRule="auto"/>
        <w:tabs>
          <w:tab w:leader="none" w:pos="138"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b w:val="1"/>
                <w:bCs w:val="1"/>
                <w:color w:val="auto"/>
              </w:rPr>
              <w:t>AWARE, INC.</w:t>
            </w:r>
          </w:p>
        </w:tc>
      </w:tr>
      <w:tr>
        <w:trPr>
          <w:trHeight w:val="432"/>
        </w:trPr>
        <w:tc>
          <w:tcPr>
            <w:tcW w:w="4060" w:type="dxa"/>
            <w:vAlign w:val="bottom"/>
          </w:tcPr>
          <w:p>
            <w:pPr>
              <w:ind w:left="820"/>
              <w:spacing w:after="0"/>
              <w:rPr>
                <w:sz w:val="20"/>
                <w:szCs w:val="20"/>
                <w:color w:val="auto"/>
              </w:rPr>
            </w:pPr>
            <w:r>
              <w:rPr>
                <w:rFonts w:ascii="Arial" w:cs="Arial" w:eastAsia="Arial" w:hAnsi="Arial"/>
                <w:sz w:val="18"/>
                <w:szCs w:val="18"/>
                <w:color w:val="auto"/>
              </w:rPr>
              <w:t>Date: October 27, 2015</w:t>
            </w:r>
          </w:p>
        </w:tc>
        <w:tc>
          <w:tcPr>
            <w:tcW w:w="2340" w:type="dxa"/>
            <w:vAlign w:val="bottom"/>
          </w:tcPr>
          <w:p>
            <w:pPr>
              <w:ind w:left="16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r>
      <w:tr>
        <w:trPr>
          <w:trHeight w:val="195"/>
        </w:trPr>
        <w:tc>
          <w:tcPr>
            <w:tcW w:w="40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Kevin T. Russell</w:t>
            </w:r>
          </w:p>
        </w:tc>
      </w:tr>
      <w:tr>
        <w:trPr>
          <w:trHeight w:val="216"/>
        </w:trPr>
        <w:tc>
          <w:tcPr>
            <w:tcW w:w="4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4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060" w:type="dxa"/>
            <w:vAlign w:val="bottom"/>
          </w:tcPr>
          <w:p>
            <w:pPr>
              <w:ind w:left="820"/>
              <w:spacing w:after="0"/>
              <w:rPr>
                <w:sz w:val="20"/>
                <w:szCs w:val="20"/>
                <w:color w:val="auto"/>
              </w:rPr>
            </w:pPr>
            <w:r>
              <w:rPr>
                <w:rFonts w:ascii="Arial" w:cs="Arial" w:eastAsia="Arial" w:hAnsi="Arial"/>
                <w:sz w:val="18"/>
                <w:szCs w:val="18"/>
                <w:color w:val="auto"/>
              </w:rPr>
              <w:t>Date: October 27, 2015</w:t>
            </w:r>
          </w:p>
        </w:tc>
        <w:tc>
          <w:tcPr>
            <w:tcW w:w="2340" w:type="dxa"/>
            <w:vAlign w:val="bottom"/>
          </w:tcPr>
          <w:p>
            <w:pPr>
              <w:ind w:left="16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195"/>
        </w:trPr>
        <w:tc>
          <w:tcPr>
            <w:tcW w:w="40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Richard P. Moberg</w:t>
            </w:r>
          </w:p>
        </w:tc>
      </w:tr>
      <w:tr>
        <w:trPr>
          <w:trHeight w:val="216"/>
        </w:trPr>
        <w:tc>
          <w:tcPr>
            <w:tcW w:w="4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4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r>
      <w:tr>
        <w:trPr>
          <w:trHeight w:val="648"/>
        </w:trPr>
        <w:tc>
          <w:tcPr>
            <w:tcW w:w="406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jc w:val="right"/>
              <w:ind w:right="490"/>
              <w:spacing w:after="0"/>
              <w:rPr>
                <w:sz w:val="20"/>
                <w:szCs w:val="20"/>
                <w:color w:val="auto"/>
              </w:rPr>
            </w:pPr>
            <w:r>
              <w:rPr>
                <w:rFonts w:ascii="Arial" w:cs="Arial" w:eastAsia="Arial" w:hAnsi="Arial"/>
                <w:sz w:val="18"/>
                <w:szCs w:val="18"/>
                <w:color w:val="auto"/>
              </w:rPr>
              <w:t>21</w:t>
            </w:r>
          </w:p>
        </w:tc>
        <w:tc>
          <w:tcPr>
            <w:tcW w:w="50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700" w:right="120" w:hanging="395"/>
        <w:spacing w:after="0" w:line="286" w:lineRule="auto"/>
        <w:tabs>
          <w:tab w:leader="none" w:pos="1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700" w:right="220" w:hanging="395"/>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60" w:hanging="395"/>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700" w:right="80" w:hanging="395"/>
        <w:spacing w:after="0" w:line="286" w:lineRule="auto"/>
        <w:tabs>
          <w:tab w:leader="none" w:pos="1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1700" w:right="280" w:hanging="395"/>
        <w:spacing w:after="0" w:line="342" w:lineRule="auto"/>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560" w:hanging="395"/>
        <w:spacing w:after="0" w:line="277"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October 27,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Kevin T. Russell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662"/>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0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31.2</w:t>
      </w:r>
    </w:p>
    <w:p>
      <w:pPr>
        <w:spacing w:after="0" w:line="221"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700" w:right="120" w:hanging="395"/>
        <w:spacing w:after="0" w:line="286" w:lineRule="auto"/>
        <w:tabs>
          <w:tab w:leader="none" w:pos="1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700" w:right="220" w:hanging="395"/>
        <w:spacing w:after="0" w:line="264" w:lineRule="auto"/>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60" w:hanging="395"/>
        <w:spacing w:after="0" w:line="264" w:lineRule="auto"/>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700" w:right="80" w:hanging="395"/>
        <w:spacing w:after="0" w:line="286" w:lineRule="auto"/>
        <w:tabs>
          <w:tab w:leader="none" w:pos="1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1700" w:right="280" w:hanging="395"/>
        <w:spacing w:after="0" w:line="342" w:lineRule="auto"/>
        <w:tabs>
          <w:tab w:leader="none" w:pos="1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560" w:hanging="395"/>
        <w:spacing w:after="0" w:line="277" w:lineRule="auto"/>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October 27,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P. Moberg</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62"/>
        </w:trPr>
        <w:tc>
          <w:tcPr>
            <w:tcW w:w="5720" w:type="dxa"/>
            <w:vAlign w:val="bottom"/>
            <w:tcBorders>
              <w:bottom w:val="single" w:sz="8" w:color="DCDCDC"/>
            </w:tcBorders>
          </w:tcPr>
          <w:p>
            <w:pPr>
              <w:spacing w:after="0"/>
              <w:rPr>
                <w:sz w:val="24"/>
                <w:szCs w:val="24"/>
                <w:color w:val="auto"/>
              </w:rPr>
            </w:pPr>
          </w:p>
        </w:tc>
        <w:tc>
          <w:tcPr>
            <w:tcW w:w="57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0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2015,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740" w:hanging="344"/>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Kevin T. Russell</w:t>
            </w:r>
          </w:p>
        </w:tc>
        <w:tc>
          <w:tcPr>
            <w:tcW w:w="5140" w:type="dxa"/>
            <w:vAlign w:val="bottom"/>
          </w:tcPr>
          <w:p>
            <w:pPr>
              <w:spacing w:after="0"/>
              <w:rPr>
                <w:sz w:val="20"/>
                <w:szCs w:val="20"/>
                <w:color w:val="auto"/>
              </w:rPr>
            </w:pPr>
            <w:r>
              <w:rPr>
                <w:rFonts w:ascii="Arial" w:cs="Arial" w:eastAsia="Arial" w:hAnsi="Arial"/>
                <w:sz w:val="18"/>
                <w:szCs w:val="18"/>
                <w:color w:val="auto"/>
              </w:rPr>
              <w:t>/s/ Richard P. Moberg</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Date: October 27, 2015</w:t>
            </w:r>
          </w:p>
        </w:tc>
        <w:tc>
          <w:tcPr>
            <w:tcW w:w="5140" w:type="dxa"/>
            <w:vAlign w:val="bottom"/>
          </w:tcPr>
          <w:p>
            <w:pPr>
              <w:spacing w:after="0"/>
              <w:rPr>
                <w:sz w:val="20"/>
                <w:szCs w:val="20"/>
                <w:color w:val="auto"/>
              </w:rPr>
            </w:pPr>
            <w:r>
              <w:rPr>
                <w:rFonts w:ascii="Arial" w:cs="Arial" w:eastAsia="Arial" w:hAnsi="Arial"/>
                <w:sz w:val="18"/>
                <w:szCs w:val="18"/>
                <w:color w:val="auto"/>
              </w:rPr>
              <w:t>Date: October 27, 2015</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1"/>
    </w:lvl>
  </w:abstractNum>
  <w:abstractNum w:abstractNumId="1">
    <w:nsid w:val="12200854"/>
    <w:multiLevelType w:val="hybridMultilevel"/>
    <w:lvl w:ilvl="0">
      <w:lvlJc w:val="left"/>
      <w:lvlText w:val="%1)"/>
      <w:numFmt w:val="upperLetter"/>
      <w:start w:val="3"/>
    </w:lvl>
  </w:abstractNum>
  <w:abstractNum w:abstractNumId="2">
    <w:nsid w:val="4DB127F8"/>
    <w:multiLevelType w:val="hybridMultilevel"/>
    <w:lvl w:ilvl="0">
      <w:lvlJc w:val="left"/>
      <w:lvlText w:val="%1)"/>
      <w:numFmt w:val="upperLetter"/>
      <w:start w:val="4"/>
    </w:lvl>
  </w:abstractNum>
  <w:abstractNum w:abstractNumId="3">
    <w:nsid w:val="216231B"/>
    <w:multiLevelType w:val="hybridMultilevel"/>
    <w:lvl w:ilvl="0">
      <w:lvlJc w:val="left"/>
      <w:lvlText w:val="%1)"/>
      <w:numFmt w:val="upperLetter"/>
      <w:start w:val="5"/>
    </w:lvl>
  </w:abstractNum>
  <w:abstractNum w:abstractNumId="4">
    <w:nsid w:val="1F16E9E8"/>
    <w:multiLevelType w:val="hybridMultilevel"/>
    <w:lvl w:ilvl="0">
      <w:lvlJc w:val="left"/>
      <w:lvlText w:val="%1)"/>
      <w:numFmt w:val="upperLetter"/>
      <w:start w:val="6"/>
    </w:lvl>
  </w:abstractNum>
  <w:abstractNum w:abstractNumId="5">
    <w:nsid w:val="1190CDE7"/>
    <w:multiLevelType w:val="hybridMultilevel"/>
    <w:lvl w:ilvl="0">
      <w:lvlJc w:val="left"/>
      <w:lvlText w:val="%1)"/>
      <w:numFmt w:val="upperLetter"/>
      <w:start w:val="7"/>
    </w:lvl>
  </w:abstractNum>
  <w:abstractNum w:abstractNumId="6">
    <w:nsid w:val="66EF438D"/>
    <w:multiLevelType w:val="hybridMultilevel"/>
    <w:lvl w:ilvl="0">
      <w:lvlJc w:val="left"/>
      <w:lvlText w:val="%1)"/>
      <w:numFmt w:val="lowerRoman"/>
      <w:start w:val="3"/>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2019-12-06T17:51:39Z</dcterms:created>
  <dcterms:modified xsi:type="dcterms:W3CDTF">2019-12-06T17:51:39Z</dcterms:modified>
</cp:coreProperties>
</file>