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8" w:lineRule="exact"/>
        <w:rPr>
          <w:sz w:val="24"/>
          <w:szCs w:val="24"/>
          <w:color w:val="auto"/>
        </w:rPr>
      </w:pPr>
    </w:p>
    <w:p>
      <w:pPr>
        <w:ind w:left="520" w:right="5080" w:hanging="511"/>
        <w:spacing w:after="0" w:line="355" w:lineRule="auto"/>
        <w:tabs>
          <w:tab w:leader="none" w:pos="41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343" w:lineRule="exact"/>
        <w:rPr>
          <w:sz w:val="24"/>
          <w:szCs w:val="24"/>
          <w:color w:val="auto"/>
        </w:rPr>
      </w:pPr>
    </w:p>
    <w:p>
      <w:pPr>
        <w:ind w:left="520" w:right="4940" w:hanging="511"/>
        <w:spacing w:after="0" w:line="291" w:lineRule="auto"/>
        <w:tabs>
          <w:tab w:leader="none" w:pos="5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 to _________</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000-21129</w:t>
            </w: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8"/>
          </w:tcPr>
          <w:p>
            <w:pPr>
              <w:jc w:val="center"/>
              <w:ind w:right="908"/>
              <w:spacing w:after="0"/>
              <w:rPr>
                <w:sz w:val="20"/>
                <w:szCs w:val="20"/>
                <w:color w:val="auto"/>
              </w:rPr>
            </w:pPr>
            <w:r>
              <w:rPr>
                <w:rFonts w:ascii="Times New Roman" w:cs="Times New Roman" w:eastAsia="Times New Roman" w:hAnsi="Times New Roman"/>
                <w:sz w:val="32"/>
                <w:szCs w:val="32"/>
                <w:b w:val="1"/>
                <w:bCs w:val="1"/>
                <w:color w:val="auto"/>
              </w:rPr>
              <w:t>AWARE, INC.</w:t>
            </w: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gridSpan w:val="3"/>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311"/>
        </w:trPr>
        <w:tc>
          <w:tcPr>
            <w:tcW w:w="3660" w:type="dxa"/>
            <w:vAlign w:val="bottom"/>
            <w:tcBorders>
              <w:bottom w:val="single" w:sz="8" w:color="auto"/>
            </w:tcBorders>
            <w:gridSpan w:val="2"/>
          </w:tcPr>
          <w:p>
            <w:pPr>
              <w:jc w:val="center"/>
              <w:ind w:left="1783"/>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04-2911026</w:t>
            </w:r>
          </w:p>
        </w:tc>
      </w:tr>
      <w:tr>
        <w:trPr>
          <w:trHeight w:val="187"/>
        </w:trPr>
        <w:tc>
          <w:tcPr>
            <w:tcW w:w="3660" w:type="dxa"/>
            <w:vAlign w:val="bottom"/>
            <w:gridSpan w:val="2"/>
          </w:tcPr>
          <w:p>
            <w:pPr>
              <w:jc w:val="center"/>
              <w:ind w:left="178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3"/>
          </w:tcPr>
          <w:p>
            <w:pPr>
              <w:jc w:val="center"/>
              <w:ind w:right="10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660" w:type="dxa"/>
            <w:vAlign w:val="bottom"/>
            <w:gridSpan w:val="2"/>
          </w:tcPr>
          <w:p>
            <w:pPr>
              <w:jc w:val="center"/>
              <w:ind w:left="178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36"/>
        </w:trPr>
        <w:tc>
          <w:tcPr>
            <w:tcW w:w="3540" w:type="dxa"/>
            <w:vAlign w:val="bottom"/>
          </w:tcPr>
          <w:p>
            <w:pPr>
              <w:spacing w:after="0"/>
              <w:rPr>
                <w:sz w:val="24"/>
                <w:szCs w:val="24"/>
                <w:color w:val="auto"/>
              </w:rPr>
            </w:pPr>
          </w:p>
        </w:tc>
        <w:tc>
          <w:tcPr>
            <w:tcW w:w="7700" w:type="dxa"/>
            <w:vAlign w:val="bottom"/>
            <w:gridSpan w:val="14"/>
          </w:tcPr>
          <w:p>
            <w:pPr>
              <w:jc w:val="center"/>
              <w:ind w:right="3459"/>
              <w:spacing w:after="0"/>
              <w:rPr>
                <w:sz w:val="20"/>
                <w:szCs w:val="20"/>
                <w:color w:val="auto"/>
              </w:rPr>
            </w:pPr>
            <w:r>
              <w:rPr>
                <w:rFonts w:ascii="Times New Roman" w:cs="Times New Roman" w:eastAsia="Times New Roman" w:hAnsi="Times New Roman"/>
                <w:sz w:val="18"/>
                <w:szCs w:val="18"/>
                <w:b w:val="1"/>
                <w:bCs w:val="1"/>
                <w:color w:val="auto"/>
                <w:w w:val="99"/>
              </w:rPr>
              <w:t>76 Blanchard Road, Burlington, Massachusetts, 01803</w:t>
            </w:r>
          </w:p>
        </w:tc>
      </w:tr>
      <w:tr>
        <w:trPr>
          <w:trHeight w:val="146"/>
        </w:trPr>
        <w:tc>
          <w:tcPr>
            <w:tcW w:w="3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10"/>
          </w:tcPr>
          <w:p>
            <w:pPr>
              <w:jc w:val="center"/>
              <w:ind w:right="728"/>
              <w:spacing w:after="0" w:line="147"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60" w:type="dxa"/>
            <w:vAlign w:val="bottom"/>
            <w:tcBorders>
              <w:top w:val="single" w:sz="8" w:color="auto"/>
            </w:tcBorders>
          </w:tcPr>
          <w:p>
            <w:pPr>
              <w:spacing w:after="0"/>
              <w:rPr>
                <w:sz w:val="12"/>
                <w:szCs w:val="12"/>
                <w:color w:val="auto"/>
              </w:rPr>
            </w:pPr>
          </w:p>
        </w:tc>
        <w:tc>
          <w:tcPr>
            <w:tcW w:w="3540" w:type="dxa"/>
            <w:vAlign w:val="bottom"/>
          </w:tcPr>
          <w:p>
            <w:pPr>
              <w:spacing w:after="0"/>
              <w:rPr>
                <w:sz w:val="12"/>
                <w:szCs w:val="12"/>
                <w:color w:val="auto"/>
              </w:rPr>
            </w:pPr>
          </w:p>
        </w:tc>
      </w:tr>
      <w:tr>
        <w:trPr>
          <w:trHeight w:val="188"/>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gridSpan w:val="7"/>
          </w:tcPr>
          <w:p>
            <w:pPr>
              <w:jc w:val="center"/>
              <w:ind w:right="1388"/>
              <w:spacing w:after="0"/>
              <w:rPr>
                <w:sz w:val="20"/>
                <w:szCs w:val="20"/>
                <w:color w:val="auto"/>
              </w:rPr>
            </w:pPr>
            <w:r>
              <w:rPr>
                <w:rFonts w:ascii="Times New Roman" w:cs="Times New Roman" w:eastAsia="Times New Roman" w:hAnsi="Times New Roman"/>
                <w:sz w:val="14"/>
                <w:szCs w:val="14"/>
                <w:color w:val="auto"/>
              </w:rPr>
              <w:t>(Zip Code)</w:t>
            </w: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9"/>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4"/>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(781) 687-0300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410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37"/>
        </w:trPr>
        <w:tc>
          <w:tcPr>
            <w:tcW w:w="3660" w:type="dxa"/>
            <w:vAlign w:val="bottom"/>
            <w:gridSpan w:val="2"/>
          </w:tcPr>
          <w:p>
            <w:pPr>
              <w:jc w:val="center"/>
              <w:ind w:left="6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7"/>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gridSpan w:val="2"/>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3660" w:type="dxa"/>
            <w:vAlign w:val="bottom"/>
            <w:tcBorders>
              <w:top w:val="single" w:sz="8" w:color="auto"/>
            </w:tcBorders>
            <w:gridSpan w:val="2"/>
          </w:tcPr>
          <w:p>
            <w:pPr>
              <w:jc w:val="center"/>
              <w:ind w:left="663"/>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6"/>
                <w:szCs w:val="16"/>
                <w:color w:val="auto"/>
              </w:rPr>
              <w:t>AWRE</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right="759"/>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5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9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 w:lineRule="exact"/>
        <w:rPr>
          <w:sz w:val="24"/>
          <w:szCs w:val="24"/>
          <w:color w:val="auto"/>
        </w:rPr>
      </w:pPr>
    </w:p>
    <w:p>
      <w:pPr>
        <w:ind w:right="260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October 27, 2026 was 21,871,737.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Nine Months Ended September 30,</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4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2026 and September 30, 2025</w:t>
            </w:r>
          </w:p>
        </w:tc>
        <w:tc>
          <w:tcPr>
            <w:tcW w:w="900" w:type="dxa"/>
            <w:vAlign w:val="bottom"/>
          </w:tcPr>
          <w:p>
            <w:pPr>
              <w:spacing w:after="0"/>
              <w:rPr>
                <w:sz w:val="17"/>
                <w:szCs w:val="17"/>
                <w:color w:val="auto"/>
              </w:rPr>
            </w:pP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September 30,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and Nine Months Ended September 30, 2026 and September</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30, 2025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gridSpan w:val="3"/>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60" w:type="dxa"/>
            <w:vAlign w:val="bottom"/>
            <w:gridSpan w:val="6"/>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20" w:type="dxa"/>
            <w:vAlign w:val="bottom"/>
            <w:tcBorders>
              <w:left w:val="single" w:sz="8" w:color="0000FF"/>
            </w:tcBorders>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0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49"/>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shd w:val="clear" w:color="auto" w:fill="CFF0FC"/>
          </w:tcPr>
          <w:p>
            <w:pPr>
              <w:spacing w:after="0"/>
              <w:rPr>
                <w:sz w:val="21"/>
                <w:szCs w:val="21"/>
                <w:color w:val="auto"/>
              </w:rPr>
            </w:pPr>
          </w:p>
        </w:tc>
      </w:tr>
      <w:tr>
        <w:trPr>
          <w:trHeight w:val="413"/>
        </w:trPr>
        <w:tc>
          <w:tcPr>
            <w:tcW w:w="7300" w:type="dxa"/>
            <w:vAlign w:val="bottom"/>
            <w:tcBorders>
              <w:top w:val="single" w:sz="8" w:color="CFF0FC"/>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Pr>
          <w:p>
            <w:pPr>
              <w:spacing w:after="0"/>
              <w:rPr>
                <w:sz w:val="18"/>
                <w:szCs w:val="18"/>
                <w:color w:val="auto"/>
              </w:rPr>
            </w:pPr>
          </w:p>
        </w:tc>
      </w:tr>
      <w:tr>
        <w:trPr>
          <w:trHeight w:val="209"/>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8"/>
                <w:szCs w:val="18"/>
                <w:color w:val="auto"/>
              </w:rPr>
            </w:pPr>
          </w:p>
        </w:tc>
      </w:tr>
      <w:tr>
        <w:trPr>
          <w:trHeight w:val="210"/>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$1.00 par value; 1,000,000 shares authorized,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none outstanding</w:t>
            </w:r>
          </w:p>
        </w:tc>
        <w:tc>
          <w:tcPr>
            <w:tcW w:w="2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70,000,000 shares authorized; issued and outstanding of</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21,856,962 as of September 30, 2026 and 21,444,665 as of December 31, 2025</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(75,816)</w:t>
            </w: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100" w:type="dxa"/>
            <w:vAlign w:val="bottom"/>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-4362450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-3248025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-3231515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-2262505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-453390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10"/>
        </w:trPr>
        <w:tc>
          <w:tcPr>
            <w:tcW w:w="3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Software licenses</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1,938</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3,923</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5,261</w:t>
            </w: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Software maintenance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2,105</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2,199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r>
      <w:tr>
        <w:trPr>
          <w:trHeight w:val="209"/>
        </w:trPr>
        <w:tc>
          <w:tcPr>
            <w:tcW w:w="3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4,417</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5,129</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12,630</w:t>
            </w:r>
          </w:p>
        </w:tc>
      </w:tr>
      <w:tr>
        <w:trPr>
          <w:trHeight w:val="4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6,013</w:t>
            </w: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4,357</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5,730</w:t>
            </w: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5,136</w:t>
            </w:r>
          </w:p>
        </w:tc>
      </w:tr>
      <w:tr>
        <w:trPr>
          <w:trHeight w:val="210"/>
        </w:trPr>
        <w:tc>
          <w:tcPr>
            <w:tcW w:w="3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6,424</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18,388</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17,737</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21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1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0"/>
        </w:trPr>
        <w:tc>
          <w:tcPr>
            <w:tcW w:w="3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 net of tax:</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3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4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58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6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21,202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21,677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21,188</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21,726</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21,202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21,677</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-2708275</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-2708275</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-2708275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-1731010</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-1731010</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-1731010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-1448435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-1448435</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-1448435</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-1165225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-1165225</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-1165225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-574040</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-556895</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-574040</wp:posOffset>
            </wp:positionV>
            <wp:extent cx="94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-556895</wp:posOffset>
            </wp:positionV>
            <wp:extent cx="94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-574040</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-556895</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60" w:type="dxa"/>
            <w:vAlign w:val="bottom"/>
          </w:tcPr>
          <w:p>
            <w:pPr>
              <w:spacing w:after="0"/>
              <w:rPr>
                <w:sz w:val="18"/>
                <w:szCs w:val="18"/>
                <w:color w:val="auto"/>
              </w:rPr>
            </w:pPr>
          </w:p>
        </w:tc>
      </w:tr>
      <w:tr>
        <w:trPr>
          <w:trHeight w:val="238"/>
        </w:trPr>
        <w:tc>
          <w:tcPr>
            <w:tcW w:w="6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bottom w:val="single" w:sz="8" w:color="auto"/>
            </w:tcBorders>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198"/>
        </w:trPr>
        <w:tc>
          <w:tcPr>
            <w:tcW w:w="69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34"/>
        </w:trPr>
        <w:tc>
          <w:tcPr>
            <w:tcW w:w="6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16"/>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Allowance (recovery) for credit losses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6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6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r>
      <w:tr>
        <w:trPr>
          <w:trHeight w:val="209"/>
        </w:trPr>
        <w:tc>
          <w:tcPr>
            <w:tcW w:w="69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42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16"/>
        </w:trPr>
        <w:tc>
          <w:tcPr>
            <w:tcW w:w="6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r>
      <w:tr>
        <w:trPr>
          <w:trHeight w:val="210"/>
        </w:trPr>
        <w:tc>
          <w:tcPr>
            <w:tcW w:w="6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made for taxes of employees who surrendered shares related to unrestricted stock</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69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2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12,972</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2,428</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6,292</w:t>
            </w:r>
          </w:p>
        </w:tc>
      </w:tr>
      <w:tr>
        <w:trPr>
          <w:trHeight w:val="20"/>
        </w:trPr>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Cash (refunded) paid for income taxes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-2571115</wp:posOffset>
            </wp:positionV>
            <wp:extent cx="1289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-1876425</wp:posOffset>
            </wp:positionV>
            <wp:extent cx="128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-890905</wp:posOffset>
            </wp:positionV>
            <wp:extent cx="128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-470535</wp:posOffset>
            </wp:positionV>
            <wp:extent cx="128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128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28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Nine Months Ended</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202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88"/>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228"/>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8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080" w:type="dxa"/>
            <w:vAlign w:val="bottom"/>
            <w:gridSpan w:val="2"/>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21,445</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5"/>
              </w:rPr>
              <w:t>215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101,510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26,137</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2026</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21,617</w:t>
            </w:r>
          </w:p>
        </w:tc>
        <w:tc>
          <w:tcPr>
            <w:tcW w:w="880" w:type="dxa"/>
            <w:vAlign w:val="bottom"/>
            <w:gridSpan w:val="2"/>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5"/>
              </w:rPr>
              <w:t>217</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101,777</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(79,274)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22,886</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Shares surrendered by employees to pay taxes related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unrestricted stock</w:t>
            </w: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142"/>
        </w:trPr>
        <w:tc>
          <w:tcPr>
            <w:tcW w:w="38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at June 30, 2026</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21,704</w:t>
            </w:r>
          </w:p>
        </w:tc>
        <w:tc>
          <w:tcPr>
            <w:tcW w:w="880" w:type="dxa"/>
            <w:vAlign w:val="bottom"/>
            <w:gridSpan w:val="2"/>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5"/>
              </w:rPr>
              <w:t>217</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102,145</w:t>
            </w: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(81,839)</w:t>
            </w:r>
          </w:p>
        </w:tc>
        <w:tc>
          <w:tcPr>
            <w:tcW w:w="1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20,643</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38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21,857</w:t>
            </w:r>
          </w:p>
        </w:tc>
        <w:tc>
          <w:tcPr>
            <w:tcW w:w="880" w:type="dxa"/>
            <w:vAlign w:val="bottom"/>
            <w:gridSpan w:val="2"/>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5"/>
              </w:rPr>
              <w:t>219</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102,396</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(82,630)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-196215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-196215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-196215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-196215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gridSpan w:val="7"/>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For the Three and Nine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440" w:type="dxa"/>
            <w:vAlign w:val="bottom"/>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0"/>
                <w:szCs w:val="10"/>
                <w:color w:val="auto"/>
              </w:rPr>
            </w:pPr>
          </w:p>
        </w:tc>
        <w:tc>
          <w:tcPr>
            <w:tcW w:w="17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21,097</w:t>
            </w:r>
          </w:p>
        </w:tc>
        <w:tc>
          <w:tcPr>
            <w:tcW w:w="2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100,377</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(69,943)</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30,896</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412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Balance at March 31, 2025</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21,133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100,504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(71,541)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29,469</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1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Shares surrendered by employees to pay taxes related to</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unrestricted stock</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412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Balance at June 30, 2025</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21,173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100,850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(73,310)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28,050</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412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21,355</w:t>
            </w:r>
          </w:p>
        </w:tc>
        <w:tc>
          <w:tcPr>
            <w:tcW w:w="2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101,199</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(74,363)</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-2005330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-2005330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-2005330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-2005330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-2005330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-959485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-959485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-959485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-959485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-959485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-196215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-196215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-196215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-196215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w:t>
      </w:r>
    </w:p>
    <w:p>
      <w:pPr>
        <w:spacing w:after="0" w:line="18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We are a leading biometric identity platform company that validates and secures identities using proven and trusted biometrics solutions. Our portfolio enables government agencies and commercial entities to enroll, identify, authenticate and enable using biometrics, which comprise physiological characteristics, such as fingerprints, faces, irises and voices.</w:t>
      </w:r>
    </w:p>
    <w:p>
      <w:pPr>
        <w:spacing w:after="0" w:line="13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Our comprehensive portfolio of biometric solutions is based on innovative, robust products designed explicitly for ease of integration, including customer-managed and integration ready biometric frameworks, platforms, software development kits (“SDKs”) and orchestration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56"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end user customers.</w:t>
      </w:r>
    </w:p>
    <w:p>
      <w:pPr>
        <w:spacing w:after="0" w:line="147"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Certain amounts in the consolidated financial statements and associated notes may not add due to rounding. All percentages have been calculated using unrounded amounts.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00"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years ended December 31, 2025 and 2024 in conjunction with our 2025 Annual Report on Form 10-K. This Form 10-Q should be read in conjunction with that Form 10-K.</w:t>
      </w:r>
    </w:p>
    <w:p>
      <w:pPr>
        <w:spacing w:after="0" w:line="143"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September 30, 2026, and of operations and cash flows for the interim periods ended September 30, 2026 and 2025.</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results of operations for the interim periods ended September 30, 2026 are not necessarily indicative of the results to be expected for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7"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Beginning in the quarter ended March 31, 2026, the Company revised the presentation of subscription-based SaaS revenue to classify it within services and other revenue rather than software maintenance revenue. Accordingly, $0.2 million and $0.3 million of revenue for the three and nine months ended September 30, 2025, respectively, have been reclassified to conform to the current period presentation.</w:t>
      </w:r>
    </w:p>
    <w:p>
      <w:pPr>
        <w:spacing w:after="0" w:line="139"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In addition, $0.1 million and $0.3 million of amortization expense related to acquired intangible assets has been reclassified from cost of revenue to general and administrative expense for the three and nine months ended September 30, 2025, respectively.</w:t>
      </w:r>
    </w:p>
    <w:p>
      <w:pPr>
        <w:spacing w:after="0" w:line="135"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These reclassifications had no impact on previously reported total revenue, loss from operations, net loss or loss per share and had no impact on the consolidated balance sheets, statements of cash flows, or changes in stockholders’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Aware, Inc. and its subsidiaries, Aware Security Corporation and Fortr3ss, Inc.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Intercompany accounts and transactions have been eliminated in consolidation.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stock-based compensation, income taxes, and allowance for credit losses.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w:t>
      </w:r>
    </w:p>
    <w:p>
      <w:pPr>
        <w:spacing w:after="0" w:line="187" w:lineRule="exact"/>
        <w:rPr>
          <w:sz w:val="20"/>
          <w:szCs w:val="20"/>
          <w:color w:val="auto"/>
        </w:rPr>
      </w:pPr>
    </w:p>
    <w:p>
      <w:pPr>
        <w:jc w:val="both"/>
        <w:ind w:left="380" w:firstLine="53"/>
        <w:spacing w:after="0" w:line="256" w:lineRule="auto"/>
        <w:rPr>
          <w:sz w:val="20"/>
          <w:szCs w:val="20"/>
          <w:color w:val="auto"/>
        </w:rPr>
      </w:pPr>
      <w:r>
        <w:rPr>
          <w:rFonts w:ascii="Times New Roman" w:cs="Times New Roman" w:eastAsia="Times New Roman" w:hAnsi="Times New Roman"/>
          <w:sz w:val="18"/>
          <w:szCs w:val="18"/>
          <w:color w:val="auto"/>
        </w:rPr>
        <w:t>In 2025, the FASB issued ASU No. 2025-06, Intangibles—Goodwill and Other—Internal-Use Software (Subtopic 350-40): Targeted Improvements to the Accounting for Internal-Use Software, which amends existing guidance related to the accounting for internal-use software costs. The amendments are intended to improve the relevance of information provided to investors about a company’s investments in internal-use software and align the accounting for internal-use software costs with modern software development practices. This ASU is effective for fiscal years beginning after December 15, 2026, and interim periods within those fiscal years, with early adoption permitted. The Company is currently evaluating the impact that adoption of this ASU will have on the Company's consolidated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200" w:lineRule="exact"/>
        <w:rPr>
          <w:sz w:val="20"/>
          <w:szCs w:val="20"/>
          <w:color w:val="auto"/>
        </w:rPr>
      </w:pPr>
    </w:p>
    <w:p>
      <w:pPr>
        <w:jc w:val="both"/>
        <w:ind w:left="380" w:right="20"/>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we apply the following five step model:</w:t>
      </w:r>
    </w:p>
    <w:p>
      <w:pPr>
        <w:spacing w:after="0" w:line="120" w:lineRule="exact"/>
        <w:rPr>
          <w:sz w:val="20"/>
          <w:szCs w:val="20"/>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66"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or services and other revenue, which includes SaaS subscription arrangements. Revenue from software licenses is recognized at a point in time upon delivery, provided all other revenue recognition criteria are met. We recognize software maintenance revenue and revenue from SaaS subscription arrangements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includes hardware sales that may be included in a software license and is recognized at a point in time upon delivery, provided all other revenue recognition criteria are met.</w:t>
      </w:r>
    </w:p>
    <w:p>
      <w:pPr>
        <w:spacing w:after="0" w:line="160"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consideration is typically not adjusted for a significant financing component if the time between payment and the transfer of the related good or service is one year or less under the practical expedient in the guidance. Our revenue arrangements are typically accounted for under such expedient, as payment is typically due within 30 to 60 days. During the three and nine month periods ended September 30, 2026 and 2025, none of our contracts contained a significant financing component.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Software as a Service (“SaaS”) contracts is recognized ratably over the subscription period in accordance with the terms of the customer agreement. For the three months ended September 30, 2026 and 2025, we recognized $0.1 million and $0.2 million, respectively, in SaaS revenue. For the nine months ended September 30, 2026 and 2025, we recognized $0.4 million and $0.3 million, respectively, in SaaS revenue. SaaS revenue is included in services and other revenue in the consolidated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associated with each category of revenue may include internal engineering labor, third-party contractors, software license fees, and hardware costs.</w:t>
      </w:r>
    </w:p>
    <w:p>
      <w:pPr>
        <w:spacing w:after="0" w:line="3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6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organize ourselves into a single segment that reports to the Chief Executive Officer, who is our CODM. We conduct our operations in the United States and sell our products and services to domestic and international customers. Revenue generated from the following geographic regions was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Turkey</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by timing of transfer of goods or services was (in thousands):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Goods or services transferred over time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42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contract type was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service contracts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4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tcBorders>
              <w:left w:val="single" w:sz="8" w:color="CFF0FC"/>
            </w:tcBorders>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Subscription-based contracts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tcBorders>
              <w:left w:val="single" w:sz="8" w:color="CFF0FC"/>
            </w:tcBorders>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-2776855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-2776855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-2776855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-1319530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-1302385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-1319530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-1302385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-24765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-24765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subscription-based contracts includes revenue that may be recognized at a point in time or over time and be part of a fixed fee and or minimum guaranteed fee as well as fees earned and allocated to software maintenance.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timing of our delivery of goods or services is different from the timing of payments made by customers, we recognize either a contract asset (performance precedes customer billing) or a contract liability (customer payment precedes performance). Customers that prepay are represented by the deferred revenue below until the performance obligation is satisfied.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59" w:right="339" w:bottom="1440" w:gutter="0" w:footer="0" w:header="0"/>
        </w:sectPr>
      </w:pPr>
    </w:p>
    <w:bookmarkStart w:id="11" w:name="page12"/>
    <w:bookmarkEnd w:id="11"/>
    <w:p>
      <w:pPr>
        <w:ind w:left="380"/>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our contract assets and liabilities during the three and nine months ended September 30, 2026 and 2025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Advance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End of</w:t>
            </w:r>
          </w:p>
        </w:tc>
      </w:tr>
      <w:tr>
        <w:trPr>
          <w:trHeight w:val="238"/>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18"/>
                <w:szCs w:val="18"/>
                <w:color w:val="auto"/>
              </w:rPr>
            </w:pPr>
          </w:p>
        </w:tc>
      </w:tr>
      <w:tr>
        <w:trPr>
          <w:trHeight w:val="410"/>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End of</w:t>
            </w:r>
          </w:p>
        </w:tc>
      </w:tr>
      <w:tr>
        <w:trPr>
          <w:trHeight w:val="238"/>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80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4,664</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FF0FC"/>
          </w:tcPr>
          <w:p>
            <w:pPr>
              <w:spacing w:after="0"/>
              <w:rPr>
                <w:sz w:val="18"/>
                <w:szCs w:val="18"/>
                <w:color w:val="auto"/>
              </w:rPr>
            </w:pPr>
          </w:p>
        </w:tc>
      </w:tr>
      <w:tr>
        <w:trPr>
          <w:trHeight w:val="720"/>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18"/>
                <w:szCs w:val="18"/>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Advance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Period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 of Period</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Unbilled receivables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Unbilled receivables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18"/>
                <w:szCs w:val="18"/>
                <w:color w:val="auto"/>
              </w:rPr>
            </w:pPr>
          </w:p>
        </w:tc>
      </w:tr>
      <w:tr>
        <w:trPr>
          <w:trHeight w:val="410"/>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Period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 of Period</w:t>
            </w: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6,062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(6,171)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8,076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(6,724)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FF0FC"/>
          </w:tcPr>
          <w:p>
            <w:pPr>
              <w:spacing w:after="0"/>
              <w:rPr>
                <w:sz w:val="18"/>
                <w:szCs w:val="18"/>
                <w:color w:val="auto"/>
              </w:rPr>
            </w:pPr>
          </w:p>
        </w:tc>
      </w:tr>
      <w:tr>
        <w:trPr>
          <w:trHeight w:val="648"/>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187"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prices from contracts for which work has not been performed or for which goods and services have not been delivered. We expect to recognize revenue on approximately 96% of the remaining deferred revenue over the next 12 months, with the remainder recognized thereafter. As of September 30, 2026, the aggregate amount of the transaction prices allocated to remaining performance obligations for contracts with a duration greater than one year was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02"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spacing w:after="0" w:line="143"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Cash and cash equivalents, which primarily include money market mutual funds were $2.4 million and $7.3 million as of September 30, 2026 and December 31, 2025, respectively. Marketable securities, which consists of U.S. Treasuries, were $12.9 million and $15.0 million as of September 30, 2026 and December 31, 2025, respectively. Our assets and liabilities that are measured at fair value on a recurring basis included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1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Measurement at September 30, 2026 Using:</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1"/>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Money market funds (included in</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1,334</w:t>
            </w:r>
          </w:p>
        </w:tc>
        <w:tc>
          <w:tcPr>
            <w:tcW w:w="3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12,947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849"/>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 at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2025 Using:</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80" w:type="dxa"/>
            <w:vAlign w:val="bottom"/>
          </w:tcPr>
          <w:p>
            <w:pPr>
              <w:spacing w:after="0"/>
              <w:rPr>
                <w:sz w:val="17"/>
                <w:szCs w:val="17"/>
                <w:color w:val="auto"/>
              </w:rPr>
            </w:pPr>
          </w:p>
        </w:tc>
        <w:tc>
          <w:tcPr>
            <w:tcW w:w="4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Money market funds (included in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5,881</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40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15,026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20,907</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-3325495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-3308350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-3325495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-3308350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-3325495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-3308350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-1079500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-1079500</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380"/>
        <w:spacing w:after="0" w:line="282" w:lineRule="auto"/>
        <w:rPr>
          <w:sz w:val="20"/>
          <w:szCs w:val="20"/>
          <w:color w:val="auto"/>
        </w:rPr>
      </w:pPr>
      <w:r>
        <w:rPr>
          <w:rFonts w:ascii="Times New Roman" w:cs="Times New Roman" w:eastAsia="Times New Roman" w:hAnsi="Times New Roman"/>
          <w:sz w:val="18"/>
          <w:szCs w:val="18"/>
          <w:color w:val="auto"/>
        </w:rPr>
        <w:t>Our investments in marketable securities are classified as available-for-sale and are carried at fair value, with the unrealized gains and losses, net of tax, reported as a component of accumulated other comprehensive income (loss) in stockholders' equity.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Marketable securities by security type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6"/>
                <w:szCs w:val="16"/>
                <w:color w:val="auto"/>
              </w:rPr>
            </w:pPr>
          </w:p>
        </w:tc>
        <w:tc>
          <w:tcPr>
            <w:tcW w:w="16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12,887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center"/>
              <w:ind w:left="1050"/>
              <w:spacing w:after="0"/>
              <w:rPr>
                <w:sz w:val="20"/>
                <w:szCs w:val="20"/>
                <w:color w:val="auto"/>
              </w:rPr>
            </w:pPr>
            <w:r>
              <w:rPr>
                <w:rFonts w:ascii="Times New Roman" w:cs="Times New Roman" w:eastAsia="Times New Roman" w:hAnsi="Times New Roman"/>
                <w:sz w:val="18"/>
                <w:szCs w:val="18"/>
                <w:color w:val="auto"/>
                <w:w w:val="99"/>
              </w:rPr>
              <w:t>(76)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12,947</w:t>
            </w: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(76)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12,947</w:t>
            </w: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00" w:type="dxa"/>
            <w:vAlign w:val="bottom"/>
          </w:tcPr>
          <w:p>
            <w:pPr>
              <w:spacing w:after="0"/>
              <w:rPr>
                <w:sz w:val="16"/>
                <w:szCs w:val="16"/>
                <w:color w:val="auto"/>
              </w:rPr>
            </w:pPr>
          </w:p>
        </w:tc>
        <w:tc>
          <w:tcPr>
            <w:tcW w:w="16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shd w:val="clear" w:color="auto" w:fill="CFF0FC"/>
          </w:tcPr>
          <w:p>
            <w:pPr>
              <w:spacing w:after="0"/>
              <w:rPr>
                <w:sz w:val="18"/>
                <w:szCs w:val="18"/>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-1045210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-1045210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-1045210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-170815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and their estimated useful lives as of September 30, 2026 are as follows (dollars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3600" w:type="dxa"/>
            <w:vAlign w:val="bottom"/>
          </w:tcPr>
          <w:p>
            <w:pPr>
              <w:spacing w:after="0"/>
              <w:rPr>
                <w:sz w:val="20"/>
                <w:szCs w:val="20"/>
                <w:color w:val="auto"/>
              </w:rPr>
            </w:pPr>
          </w:p>
        </w:tc>
        <w:tc>
          <w:tcPr>
            <w:tcW w:w="1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 and 10 years  $</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 and 7 years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8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and 7 years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3600" w:type="dxa"/>
            <w:vAlign w:val="bottom"/>
          </w:tcPr>
          <w:p>
            <w:pPr>
              <w:spacing w:after="0"/>
              <w:rPr>
                <w:sz w:val="18"/>
                <w:szCs w:val="18"/>
                <w:color w:val="auto"/>
              </w:rPr>
            </w:pPr>
          </w:p>
        </w:tc>
        <w:tc>
          <w:tcPr>
            <w:tcW w:w="2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w:t>
            </w: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2026 and 2025, we recorded $0.1 million and $0.3 million of intangible assets amortization expense, respectively. We expect to record amortization expense for the remainder of 2026 and each subsequent year and thereafter as follows (in thousands):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31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As of September 30, 2026, we had $3.1 million of goodwill. During the three months ended March 31, 2026, we identified a triggering event due to a decline in market capitalization and continued operating losses and, as a result, performed an interim quantitative goodwill impairment test. Based on this analysis, we determined that the fair value of the reporting unit exceeded its carrying value and no impairment of goodwill was recorded as of March 31, 2026. During the three and nine months ended September 30, 2026, we did not identify any additional triggering events or indicators of impairment, and therefore no additional interim goodwill impairment test was performed. No impairment of goodwill was recorded during the three and nine months ended September 30,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Charges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In March 2026, we implemented a cost-saving plan to better align our cost structure with current business needs. During the three and nine months ended September 30, 2026, we recognized approximately $44 thousand and $0.7 million, respectively, of restructuring charges, consisting primarily of employee severance and related benefits.</w:t>
      </w:r>
    </w:p>
    <w:p>
      <w:pPr>
        <w:spacing w:after="0" w:line="149"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As of September 30, 2026, approximately $0.2 million of restructuring costs remained unpaid, which are expected to be paid within the next six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Computation of Earnings per Share</w:t>
      </w:r>
    </w:p>
    <w:p>
      <w:pPr>
        <w:spacing w:after="0" w:line="189"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All outstanding common stock equivalents were not included in the per share calculation for diluted earnings per share where we had a net loss, and the effect of their inclusion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and Stock-based compensation</w:t>
      </w:r>
    </w:p>
    <w:p>
      <w:pPr>
        <w:spacing w:after="0" w:line="189"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expenses included in our unaudited consolidated statements of operations and comprehensive loss (in thousands):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8"/>
                <w:szCs w:val="18"/>
                <w:color w:val="auto"/>
              </w:rPr>
            </w:pPr>
          </w:p>
        </w:tc>
        <w:tc>
          <w:tcPr>
            <w:tcW w:w="17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jc w:val="both"/>
        <w:ind w:left="3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On January 17, 2024, our stockholders approved the Aware, Inc. 2023 Equity and Incentive Plan (the “2023 Plan”).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2023 Plan, we ceased making awards under our previous 2001 Nonqualified Stock Plan (as amended, the “2001 Plan”).</w:t>
      </w: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granted stock options to purchase an aggregate of 0 and 10,000 shares of common stock under the 2023 Plan, respectively. The stock options granted in the nine months ended September 30, 2026 were granted as incentive stock options.</w:t>
      </w:r>
    </w:p>
    <w:p>
      <w:pPr>
        <w:spacing w:after="0" w:line="11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granted stock options to purchase an aggregate of 25,000 and 1,538,322 shares of common stock, respectively, under the 2023 Plan. Of the total stock options granted in the nine months ended September 30, 2025, 700,965 options were granted as incentive stock options and 837,357 as non-qualified stock options.</w:t>
      </w:r>
    </w:p>
    <w:p>
      <w:pPr>
        <w:spacing w:after="0" w:line="108"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No stock options were exercised during the three and nine months ended September 30, 2026. During the three and nine months ended September 30, 2025, 4,000 stock options were exercised.</w:t>
      </w:r>
    </w:p>
    <w:p>
      <w:pPr>
        <w:spacing w:after="0" w:line="135"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The stock options granted during the three months ended March 31, 2025 included 105,000 incentive stock options to a hired executive officer and 1,060,197 options, comprising both incentive and non-qualified options granted to Ajay Amlani, in connection with his appointment as the Company’s Chief Executive Officer. Within the grant to Mr. Amlani, 848,157 options were subject to time-based vesting, with 25 percent vested on the one-year anniversary of the grant date and the remaining 75 percent vesting in 36 equal monthly installments thereafter, subject to Mr. Amlani's continued service. The remaining 212,040 options granted to Mr. Amlani were performance-based and divided equally between two tranches. The first tranche was eligible to vest if certain minimum thresholds for bookings growth for 2025 were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5" w:name="page16"/>
    <w:bookmarkEnd w:id="15"/>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achieved, with incremental vesting for higher levels of growth up to a maximum threshold. The second tranche is subject to similar performance conditions based on year-over-year bookings growth in 2026. In both cases, Mr. Amlani must remain in service through December 31 of the applicable performance year for any shares to vest. Expense recognition for the option grant is based on the fair value on the grant date and reflects management’s assessment of the probability of achieving the specified performance conditions. Expense is recognized over the requisite service period and is adjusted for changes in the probability of achievement, as necessary. During 2025, the performance condition for the 2025 tranche was not achieved and the related performance-based options were cancelled. Any compensation expense previously recognized for that tranche was reversed during 2025. As of September 30, 2026, management determined that achievement of the performance conditions for the 2026 tranche was not probable and, accordingly, no compensation expense has been recognized for the 2026 tranche.</w:t>
      </w:r>
    </w:p>
    <w:p>
      <w:pPr>
        <w:spacing w:after="0" w:line="12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The 2023 Plan permits us to grant restricted stock units to our directors, officers, and employees. Upon vesting, each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w:t>
      </w:r>
    </w:p>
    <w:p>
      <w:pPr>
        <w:spacing w:after="0" w:line="101"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We granted 68,193 and 285,547 restricted stock units to directors, officers, and employees during the three and nine months ended September 30, 2026, respectively. Of the 217,354 restricted stock units granted during the three months ended March 31, 2026, 108,677 vested shortly after June 30, 2026 and the remaining are scheduled to vest shortly after December 31, 2026. No restricted stock units were forfeited during the three or nine months ended September 30, 2026.</w:t>
      </w:r>
    </w:p>
    <w:p>
      <w:pPr>
        <w:spacing w:after="0" w:line="11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granted 0 and 771,184 restricted stock units, respectively, to directors, officers, and employees. Of these, 250,355 restricted stock units are vested in two installments of 122,818 and 127,537 shares shortly after June 30, 2025 and December 31, 2025, respectively. In addition, 166,229 restricted stock units were granted on March 13, 2025 to Mr. Amlani in connection with an amendment to his employment agreement. The amendment provided that 80% of Mr. Amlani's CEO’s base salary for the period from March 16, 2025 through December 31, 2025 will be paid in restricted stock units. The award represented the right to receive 166,229 shares and vested in nine equal monthly installments beginning on April 16, 2025 and continuing on the 16th of each month through December 16, 2025. All awards were subject to Mr. Amlani's continued service through the applicable vesting dates.</w:t>
      </w:r>
    </w:p>
    <w:p>
      <w:pPr>
        <w:spacing w:after="0" w:line="121"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In addition, 354,600 restricted stock units were granted on June 13, 2025 to Mr. Amlani in connection with a further amendment to his employment agreement. The amendment provides that 75% of Mr. Amlani's CEO’s base salary for the period from January 1, 2026 through December 31, 2027 will be paid in restricted stock units. The award represents the right to receive 354,600 shares and will vest in twenty four equal monthly installments beginning on January 16, 2026 and continuing on the 16th of each month through December 16, 2027. All awards are subject to Mr. Amlani's continued service through the applicable vesting dates. No restricted stock units were forfeited during the three or nine months ended September 30, 2025.</w:t>
      </w:r>
    </w:p>
    <w:p>
      <w:pPr>
        <w:spacing w:after="0" w:line="104" w:lineRule="exact"/>
        <w:rPr>
          <w:sz w:val="20"/>
          <w:szCs w:val="20"/>
          <w:color w:val="auto"/>
        </w:rPr>
      </w:pPr>
    </w:p>
    <w:p>
      <w:pPr>
        <w:jc w:val="both"/>
        <w:ind w:left="3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Purchases - </w:t>
      </w:r>
      <w:r>
        <w:rPr>
          <w:rFonts w:ascii="Times New Roman" w:cs="Times New Roman" w:eastAsia="Times New Roman" w:hAnsi="Times New Roman"/>
          <w:sz w:val="18"/>
          <w:szCs w:val="18"/>
          <w:color w:val="auto"/>
        </w:rPr>
        <w:t>On March 1, 2022, our Board of Directors authorized a new stock repurchase program pursuant to which we may 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million of our common stock. On November 30, 2023, our Board of Directors extended the program through December 31, 2025. As of September 30, 2025 we had repurchased $2.1 million of our common stock pursuant to this program. During the three and nine months ended September 30, 2025 we purchased 0 and 75,457 shares of common stock, respectively. The program did not obligate us to acquire any particular amount of common stock. As of December 31, 2025 the plan expired. We did not repurchase any shares of our common stock during the three or nine months ended September 30,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89"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recorded an income tax provision of approximately $6 thousand and $5 thousand, respectively. During the nine months ended September 30, 2026 and 2025, we recorded an income tax provision of approximately $15 thousand and $39 thousand,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September 30, 2026 and December 31, 2025, we have a full valuation allowance recorded against our net deferred tax assets.</w:t>
      </w:r>
    </w:p>
    <w:p>
      <w:pPr>
        <w:spacing w:after="0" w:line="1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61" w:right="339" w:bottom="1440" w:gutter="0" w:footer="0" w:header="0"/>
        </w:sectPr>
      </w:pPr>
    </w:p>
    <w:bookmarkStart w:id="17" w:name="page18"/>
    <w:bookmarkEnd w:id="17"/>
    <w:p>
      <w:pPr>
        <w:ind w:right="1780" w:firstLine="1837"/>
        <w:spacing w:after="0" w:line="466"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Cautionary Statement for Purposes of the “Safe Harbor” Provisions of the Private Securities Litigation Reform Act of 1995</w:t>
      </w:r>
    </w:p>
    <w:p>
      <w:pPr>
        <w:spacing w:after="0" w:line="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substantial risks and uncertainties. You can identify these statements by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information. However, we may not be able to predict future events accurately. The risk factors listed in this Quarterly Report on Form 10-Q and our Annual Report on Form 10-K for the year ended December 31, 2025, as well as any cautionary language in this Quarterly Report on Form 10-Q, provide examples of risks, uncertainties and events that may cause our actual results to differ materially from the expectations we describe in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You should be aware that the occurrence of any of the events described in these risk factors and elsewhere in this Quarterly Report on Form 10-Q could materially and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revenue and results of operations to summarize financial results as we believe these measurements are the most meaningful way to understand our operating performance. The comparisons below reflect certain reclassifications described in more detail in Note 1 to the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and operating loss for the three months ended September 30, 2026 were $4.4 million and $0.9 million, respectively. These results compared to revenue of $5.1 million and operating loss of $1.3 million for the three months ended September 30, 2025. The decrease in revenue was primarily due to lower software license revenue. The decrease in operating loss was primarily due to lower operating expenses and partially offset by lower software license revenue.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and operating loss for the nine months ended September 30, 2026 were $11.1 million and $7.3 million, respectively. These results compared to revenue of $12.6 million and operating loss of $5.1 million for the nine months ended September 30, 2025. The decrease in revenue was primarily due to lower software license revenue. The increase in operating loss was primarily due to lower revenue, one-time severance costs in the current period of $0.7 million and a $0.9 million increase in salary-related expenses resulting from additional headcount hired in 2025. These severance costs relate to workforce reduction actions taken during the period as part of our efforts to align our cost structure with current business conditions. We expect to realize incremental cost savings from these actions throughout the remainder of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all other financial results are discussed in more detail in the results of operations section that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 licenses. </w:t>
      </w:r>
      <w:r>
        <w:rPr>
          <w:rFonts w:ascii="Times New Roman" w:cs="Times New Roman" w:eastAsia="Times New Roman" w:hAnsi="Times New Roman"/>
          <w:sz w:val="18"/>
          <w:szCs w:val="18"/>
          <w:color w:val="auto"/>
        </w:rPr>
        <w:t>Software licenses consist of revenue from the sale of biometrics and imaging software products. Sales of software products depend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win proposals to supply software for biometrics systems projects either directly to end user customers or indirectly through channel partners.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license revenue decreased 23% from $2.5 million in the three months ended September 30, 2025 to $1.9 million for the three months ended September 30, 2026. As a percentage of total revenue, software license revenue decreased from 49% in the third quarter of 2025 to 44% in the current year quarter. The $0.6 million decrease in software license revenue was due primarily fewer one-time perpetual licenses sales due to a decrease in one-time license deals in the current quarter.</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license revenue decreased 25% from $5.3 million in the nine months ended September 30, 2025 to $3.9 million for the nine months ended September 30, 2026. As a percentage of total revenue, software license revenue decreased from 42% in the first nine months of 2025 to 36% in the current period. The $1.3 million decrease in software license revenue was due primarily to fewer one-time perpetual licenses sales in the current year period.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license sales have historically fluctuated, and we expect software license revenue to continue to fluctuate since these sales are based on the timing of projects with our customers and partners.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market strategy is to continue to focus on our legacy government biometrics markets and expand into new commercial biometrics markets. We are unable to predict future revenue from commercial markets as these are emerging markets.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Software maintenance</w:t>
      </w:r>
      <w:r>
        <w:rPr>
          <w:rFonts w:ascii="Times New Roman" w:cs="Times New Roman" w:eastAsia="Times New Roman" w:hAnsi="Times New Roman"/>
          <w:sz w:val="18"/>
          <w:szCs w:val="18"/>
          <w:color w:val="auto"/>
        </w:rPr>
        <w:t>. Software maintenance consists of revenue from the sale of software maintenance contracts. Software maintenance contracts entitle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receive software support and software updates, if and when they become available, during the term of the contract.</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maintenance decreased 4% from $2.2 million in the three months ended September 30, 2025 to $2.1 million for the three months ended September 30, 2026. As a percentage of total revenue, software maintenance revenue increased from 43% in the third quarter of 2025 to 48% in the current year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maintenance decreased 4% from $6.5 million in the nine months ended September 30, 2025 to $6.2 million for the nine months ended September 30, 2026. As a percentage of total revenue, software maintenance revenue increased from 51% in the nine months ended September 30, 2025 to 56% in the current year period.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decreases in software maintenance was primarily due to the non-renewal or reduced scope of maintenance contracts by certain long-standing customers, principally U.S. federal government agencies and contractors supporting legacy deployments. Software maintenance contracts are generally renewed annually, the continued non-renewal of contracts by long-standing customers could reduce software maintenance revenue in future periods. Sustaining software maintenance revenue depends on renewal rates within our installed base and on new license sales, which generate related maintenance.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amounts have been reclassified to conform to the current period presentation. See Note 1 to the consolidated financial statements for additional information regarding these reclassifications.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other revenue consists of fees we charge to perform software development, integration, installation,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customization, and other professional services, as well as subscription-based SaaS offerings and hardware included with certain software licenses. Similar to software license revenue, services revenue depends on our ability to win biometrics systems projects either directly with end user customers or in conjunction with channel partners. SaaS revenue reflects recurring subscription fees for access to our biometric software solutions.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Services and other revenue may fluctuate based on the timing of commencement and completion of customer projects, the mix of professional services and subscription-based arrangements, and the timing of hardware delivered in connection with software licenses.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Services and other revenue was $0.4 million in the three months ended September 30, 2025 and 2026. As a percentage of total revenue, services and other revenue was 8% in the three months ended September 30, 2025 and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Services and other revenue increased from $0.9 million in the nine months ended September 30, 2025 to $1.0 million in the nine months ended September 30, 2026. As a percentage of total revenue, services and other revenue increased from 7% in the nine months ended September 30, 2025 to 9% in the current year period. The increase was primarily due to growth in SaaS revenue, which increased from $0.3 million in the nine months ended September 30, 2025 to $0.4 million in the current year period and was partially offset by lower services revenue. The increase in SaaS revenue reflects expansion of subscription-based customer arrangements.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amounts have been reclassified to conform to the current period presentation. See Note 1 to the consolidated financial statements for additional information regarding these reclassifications.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Cost of revenue consists primarily of engineering costs to perform customer services projects, amortization of intangible assets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was $0.4 million in the three months ended September 30, 2025 and 2026. Cost of revenue as a percentage of total revenue increased from 8% in the third quarter of 2025 to 10% in the current year third quarter.</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increased 51% from $0.9 million in the nine months ended September 30, 2025 to $1.3 million in the nine months ended September 30, 2026. Cost of revenue as a percentage of total revenue increased from 7% in the nine months ended September 30, 2025 to 12% in the current year period. The $0.4 million increase was the result of increased software license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amounts have been reclassified to conform to the current period presentation. See Note 1 to the consolidated financial statements for additional information regarding these reclassifications.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margins on revenue are a function of: i) the nature of the projects; ii) the level of engineering difficulty and labor hours required to complete project tasks; iii) how much we were able to charge; and iv) product mix. We expect that gross margins on services and other revenue will continue to fluctuate in future periods based on the nature, complexity, and pricing of future projects and product mix.</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of costs for: i) engineering personnel, including salaries,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revenue section, engineering costs incurred to provide engineering services for customer projects are classified as cost of revenue, and are not included in research and development expense.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total engineering costs to research and development expense and engineering costs to perform customer services included in cost of revenue was (in thousands):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7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Engineering costs allocated to cost of revenue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engineering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engineering costs increased 7% from $2.2 million in the three months ended September 30, 2025 to $2.4 million in the three months ended September 30, 2026. As a percentage of total revenue, total engineering costs increased from 43% in the three months ended September 30, 2025 to 54% in the same current year quarter. The spending increase for the three months ended September 30, 2026 compared to the same prior year period was primarily due to salary related costs in relation to additional headcount hired in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Total engineering costs increased 32% from $6.3 million in the nine months ended September 30, 2025 to $8.3 million in the nine months ended September 30, 2026. As a percentage of total revenue, total engineering costs increased from 50% in the nine months ended September 30, 2025 to 75% in the same current year period. The spending increase for the nine months ended September 30, 2026 compared to the same prior year period was primarily due to one-time severance costs of $0.7 million including the termination of our chief technology officer and a $1.3 million increase in salary related costs in relation to additional headcount hired in 2025.</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and marketing expense. </w:t>
      </w:r>
      <w:r>
        <w:rPr>
          <w:rFonts w:ascii="Times New Roman" w:cs="Times New Roman" w:eastAsia="Times New Roman" w:hAnsi="Times New Roman"/>
          <w:sz w:val="18"/>
          <w:szCs w:val="18"/>
          <w:color w:val="auto"/>
        </w:rPr>
        <w:t>Selling and marketing expense primarily consists of costs for: i) sales and marketing personnel, including salaries,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stock-based compensation, fringe benefits, travel, and facilities; and ii) advertising and promotion expenses.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45% from $2.1 million in the three months ended September 30, 2025 to $1.1 million in the same three month period of 2026. As a percentage of total revenue, selling and marketing expense decreased from 41% in the third quarter of 2025 to 26% in the corresponding period in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24% from $5.7 million in the nine months ended September 30, 2025 to $4.4 million in the same nine month period of 2026. As a percentage of total revenue, selling and marketing expense decreased from 45% in the nine months ended September 30, 2025 to 39% in the corresponding period in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selling and marketing expense for the three and nine months ended September 30, 2026, compared to the same periods in the prior year, was primarily due to lower personnel-related costs resulting from the cost saving plan implemented in March 2026 to better align the Company's cost structure with current business needs.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consists primarily of costs for: i) officers, directors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17% from $1.8 million in the three months ended September 30, 2025 to $1.5 million in the three months ended September 30, 2026. As a percentage of total revenue, general and administrative expense decreased from 35% in the three months ended September 30, 2025 to 33% in the corresponding period in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9% from $5.1 million in the nine months ended September 30, 2025 to $4.7 million in the same nine month period of 2026. As a percentage of total revenue, general and administrative expense increased from 41% in the nine months ended September 30, 2025 to 42% in the corresponding period of 2026.</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 for the three and nine months ended September 30, 2026, compared to the same periods in the prior year, was primarily due to lower personnel-related costs resulting from the cost-saving plan implemented in March 2026 to better align the Company's cost structure with current business needs.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amounts have been reclassified to conform to the current period presentation. See Note 1 to the consolidated financial statements for additional information regarding these 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general and administrative expenses are expected depending on specific activities in a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$0.2 million in the three months ended September 30, 2026 and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$0.5 million and $0.7 million in the nine months ended September 30, 2026 and 2025, respectively. The decrease in interest income in the nine months ended September 30, 2026 was primarily the result of lower average cash balances during the current year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interest income to decrease slightly over the remainder of 2026 due to a lower projected average cash balance.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Total income tax expense was $6 thousand and income tax expense was $5 thousand for the three months ended September 30, 2026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respectively. The income tax expense relates to state income taxes.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income tax expense was $15 thousand and income tax expense was $39 thousand for the nine months ended September 30, 2026 and 2025, respectively. The income tax expense relates to state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September 30, 2026 and December 31, 2025, we recorded a full valuation allowance against our net deferred tax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we had cash, cash equivalents and marketable securities of $15.4 million, which represented a decrease of $6.9 million from December 31, 2025. The decrease in cash, cash equivalents and marketable securities was primarily due to the impact of $6.9 million of cash used in 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investing activities was $2.0 million in the first nine months of 2026, which primarily consisted of net sales of marketable securities.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$47 thousand in the first nine months of 2026, which primarily consisted of proceeds from issuances of common stock.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assure you that we will not require additional financing, or that such financing will be available to us, we believe that our cash and cash equivalents and marketable securities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seek external financing, which may not be available on terms we find attractive or at all.</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inflation has not had a material impact on our financial results. There can be no assurance, however, that inflation will not adversely affect our financial results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Consolidated Financial Statements in Item 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Rules 13a-15(b) and 15d-15(b) as of the end of the period covered by this report. Based on that evaluation, the Chief Executive Officer and Chief Financial Officer have concluded that these disclosure controls and procedures were effective as of September 30, 2026.</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September 30,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We are not party to any lawsuit or proceeding that, in our opinion, is material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Our Annual Report on Form 10-K for the year ended December 31, 2025 includes a detailed discussion of our risk factors under the heading “Part I, Item 1A—Risk Factors.” There have been no material changes from such risk factors during the nine months ended September 30, 2026. You should consider carefully the risk factors discussed in our Annual Report on Form 10-K for the year ended December 31, 2025,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modified, or terminated a “Rule 10b5-1 trading arrangement” or “non-Rule 10b5-1 trading arrangement,” as each term is defined in Item 408(a) of Regulation S-K.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9640" w:type="dxa"/>
            <w:vAlign w:val="bottom"/>
            <w:gridSpan w:val="7"/>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tc>
        <w:tc>
          <w:tcPr>
            <w:tcW w:w="4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9640" w:type="dxa"/>
            <w:vAlign w:val="bottom"/>
            <w:gridSpan w:val="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Articles of Organization, as amended (filed as Exhibit 3.1 to the Company’s Form 10-K for the year ended</w:t>
              </w:r>
            </w:hyperlink>
          </w:p>
        </w:tc>
      </w:tr>
      <w:tr>
        <w:trPr>
          <w:trHeight w:val="20"/>
        </w:trPr>
        <w:tc>
          <w:tcPr>
            <w:tcW w:w="1600" w:type="dxa"/>
            <w:vAlign w:val="bottom"/>
          </w:tcPr>
          <w:p>
            <w:pPr>
              <w:spacing w:after="0" w:line="20" w:lineRule="exact"/>
              <w:rPr>
                <w:sz w:val="1"/>
                <w:szCs w:val="1"/>
                <w:color w:val="auto"/>
              </w:rPr>
            </w:pPr>
          </w:p>
        </w:tc>
        <w:tc>
          <w:tcPr>
            <w:tcW w:w="42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7"/>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December 31, 2008 and incorporated herein by reference).</w:t>
              </w:r>
            </w:hyperlink>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42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w:t>
            </w:r>
          </w:p>
        </w:tc>
        <w:tc>
          <w:tcPr>
            <w:tcW w:w="9640" w:type="dxa"/>
            <w:vAlign w:val="bottom"/>
            <w:gridSpan w:val="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By-Laws (filed as Exhibit 3.1 to the Company’s Form 8-K filed with the Securities and Exchange</w:t>
              </w:r>
            </w:hyperlink>
          </w:p>
        </w:tc>
      </w:tr>
      <w:tr>
        <w:trPr>
          <w:trHeight w:val="20"/>
        </w:trPr>
        <w:tc>
          <w:tcPr>
            <w:tcW w:w="1600" w:type="dxa"/>
            <w:vAlign w:val="bottom"/>
          </w:tcPr>
          <w:p>
            <w:pPr>
              <w:spacing w:after="0" w:line="20" w:lineRule="exact"/>
              <w:rPr>
                <w:sz w:val="1"/>
                <w:szCs w:val="1"/>
                <w:color w:val="auto"/>
              </w:rPr>
            </w:pPr>
          </w:p>
        </w:tc>
        <w:tc>
          <w:tcPr>
            <w:tcW w:w="540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7"/>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Commission on December 10, 2007 and incorporated herein by reference).</w:t>
              </w:r>
            </w:hyperlink>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31.1</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718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31.2</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7180" w:type="dxa"/>
            <w:vAlign w:val="bottom"/>
            <w:tcBorders>
              <w:right w:val="single" w:sz="8" w:color="0000EE"/>
            </w:tcBorders>
            <w:gridSpan w:val="3"/>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Principal Financial Officer pursuant to Section 906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95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financial statements from Aware, Inc.’s Quarterly Report on Form 10-Q for the quarter ended September 30, 2026,</w:t>
            </w:r>
          </w:p>
        </w:tc>
      </w:tr>
      <w:tr>
        <w:trPr>
          <w:trHeight w:val="216"/>
        </w:trPr>
        <w:tc>
          <w:tcPr>
            <w:tcW w:w="1600" w:type="dxa"/>
            <w:vAlign w:val="bottom"/>
          </w:tcPr>
          <w:p>
            <w:pPr>
              <w:spacing w:after="0"/>
              <w:rPr>
                <w:sz w:val="18"/>
                <w:szCs w:val="18"/>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formatted in iXBRL (Inline eXtensible Business Reporting Language), as follows: i) Consolidated Balance Sheets as of September</w:t>
            </w:r>
          </w:p>
        </w:tc>
      </w:tr>
      <w:tr>
        <w:trPr>
          <w:trHeight w:val="216"/>
        </w:trPr>
        <w:tc>
          <w:tcPr>
            <w:tcW w:w="1600" w:type="dxa"/>
            <w:vAlign w:val="bottom"/>
          </w:tcPr>
          <w:p>
            <w:pPr>
              <w:spacing w:after="0"/>
              <w:rPr>
                <w:sz w:val="18"/>
                <w:szCs w:val="18"/>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30, 2026 and December 31, 2025, ii) Consolidated Statements of Operations and Comprehensive Loss for the Three and Nine Months</w:t>
            </w:r>
          </w:p>
        </w:tc>
      </w:tr>
      <w:tr>
        <w:trPr>
          <w:trHeight w:val="216"/>
        </w:trPr>
        <w:tc>
          <w:tcPr>
            <w:tcW w:w="1600" w:type="dxa"/>
            <w:vAlign w:val="bottom"/>
          </w:tcPr>
          <w:p>
            <w:pPr>
              <w:spacing w:after="0"/>
              <w:rPr>
                <w:sz w:val="18"/>
                <w:szCs w:val="18"/>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Ended September 30, 2026 and 2025 iii) Consolidated Statements of Cash Flows for the Nine Months Ended September 30, 2026 and</w:t>
            </w:r>
          </w:p>
        </w:tc>
      </w:tr>
      <w:tr>
        <w:trPr>
          <w:trHeight w:val="216"/>
        </w:trPr>
        <w:tc>
          <w:tcPr>
            <w:tcW w:w="1600" w:type="dxa"/>
            <w:vAlign w:val="bottom"/>
          </w:tcPr>
          <w:p>
            <w:pPr>
              <w:spacing w:after="0"/>
              <w:rPr>
                <w:sz w:val="18"/>
                <w:szCs w:val="18"/>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2025, iv) Consolidated Statements of Stockholders’ Equity for the Three and Nine Months Ended September 30, 2026 and 2025, and</w:t>
            </w:r>
          </w:p>
        </w:tc>
      </w:tr>
      <w:tr>
        <w:trPr>
          <w:trHeight w:val="234"/>
        </w:trPr>
        <w:tc>
          <w:tcPr>
            <w:tcW w:w="1600" w:type="dxa"/>
            <w:vAlign w:val="bottom"/>
          </w:tcPr>
          <w:p>
            <w:pPr>
              <w:spacing w:after="0"/>
              <w:rPr>
                <w:sz w:val="20"/>
                <w:szCs w:val="20"/>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 Notes to Consolidated Financial Statements.</w:t>
            </w:r>
          </w:p>
        </w:tc>
      </w:tr>
      <w:tr>
        <w:trPr>
          <w:trHeight w:val="3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Document Set.</w:t>
            </w:r>
          </w:p>
        </w:tc>
      </w:tr>
      <w:tr>
        <w:trPr>
          <w:trHeight w:val="864"/>
        </w:trPr>
        <w:tc>
          <w:tcPr>
            <w:tcW w:w="1600" w:type="dxa"/>
            <w:vAlign w:val="bottom"/>
          </w:tcPr>
          <w:p>
            <w:pPr>
              <w:spacing w:after="0"/>
              <w:rPr>
                <w:sz w:val="24"/>
                <w:szCs w:val="24"/>
                <w:color w:val="auto"/>
              </w:rPr>
            </w:pPr>
          </w:p>
        </w:tc>
        <w:tc>
          <w:tcPr>
            <w:tcW w:w="4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AWARE, INC.</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30, 2026</w:t>
            </w:r>
          </w:p>
        </w:tc>
        <w:tc>
          <w:tcPr>
            <w:tcW w:w="2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6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30, 2026</w:t>
            </w:r>
          </w:p>
        </w:tc>
        <w:tc>
          <w:tcPr>
            <w:tcW w:w="2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6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Pr>
          <w:p>
            <w:pPr>
              <w:spacing w:after="0"/>
              <w:rPr>
                <w:sz w:val="24"/>
                <w:szCs w:val="24"/>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8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Ajay K. Amlani, Chief Executive Officer &amp; President of Aware, Inc., certify that:</w:t>
      </w:r>
    </w:p>
    <w:p>
      <w:pPr>
        <w:spacing w:after="0" w:line="18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Aware, Inc.;</w:t>
      </w:r>
    </w:p>
    <w:p>
      <w:pPr>
        <w:spacing w:after="0" w:line="18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5"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 Traverse, Chief Financial Officer of Aware, Inc., certify that:</w:t>
      </w:r>
    </w:p>
    <w:p>
      <w:pPr>
        <w:spacing w:after="0" w:line="1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Aware, Inc.;</w:t>
      </w:r>
    </w:p>
    <w:p>
      <w:pPr>
        <w:spacing w:after="0" w:line="18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5"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Aware, Inc. (the “Company”) for the quarter ended September 30, 2026,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0" w:lineRule="exact"/>
        <w:rPr>
          <w:sz w:val="20"/>
          <w:szCs w:val="20"/>
          <w:color w:val="auto"/>
        </w:rPr>
      </w:pPr>
    </w:p>
    <w:p>
      <w:pPr>
        <w:ind w:left="1160" w:hanging="403"/>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20" w:hanging="403"/>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c>
          <w:tcPr>
            <w:tcW w:w="11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1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11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r>
    </w:tbl>
    <w:p>
      <w:pPr>
        <w:spacing w:after="0" w:line="19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33" Type="http://schemas.openxmlformats.org/officeDocument/2006/relationships/hyperlink" Target="https://www.sec.gov/Archives/edgar/data/0001015739/000118811209000293/ex3-1.htm" TargetMode="External"/><Relationship Id="rId134" Type="http://schemas.openxmlformats.org/officeDocument/2006/relationships/hyperlink" Target="https://www.sec.gov/Archives/edgar/data/0001015739/00011881120700356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2026-10-30T15:05:56Z</dcterms:created>
  <dcterms:modified xsi:type="dcterms:W3CDTF">2026-10-30T15:05:56Z</dcterms:modified>
</cp:coreProperties>
</file>