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2015</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000-21129</w:t>
      </w:r>
    </w:p>
    <w:p>
      <w:pPr>
        <w:spacing w:after="0" w:line="252" w:lineRule="exact"/>
        <w:rPr>
          <w:sz w:val="24"/>
          <w:szCs w:val="24"/>
          <w:color w:val="auto"/>
        </w:rPr>
      </w:pPr>
    </w:p>
    <w:tbl>
      <w:tblPr>
        <w:tblLayout w:type="fixed"/>
        <w:tblInd w:w="192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AWARE, INC.</w:t>
            </w:r>
          </w:p>
        </w:tc>
        <w:tc>
          <w:tcPr>
            <w:tcW w:w="3800" w:type="dxa"/>
            <w:vAlign w:val="bottom"/>
            <w:gridSpan w:val="3"/>
          </w:tcPr>
          <w:p>
            <w:pPr>
              <w:spacing w:after="0"/>
              <w:rPr>
                <w:sz w:val="20"/>
                <w:szCs w:val="20"/>
                <w:color w:val="auto"/>
              </w:rPr>
            </w:pPr>
          </w:p>
        </w:tc>
      </w:tr>
      <w:tr>
        <w:trPr>
          <w:trHeight w:val="230"/>
        </w:trPr>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(Exact Name of</w:t>
            </w:r>
          </w:p>
        </w:tc>
        <w:tc>
          <w:tcPr>
            <w:tcW w:w="4920" w:type="dxa"/>
            <w:vAlign w:val="bottom"/>
            <w:gridSpan w:val="4"/>
          </w:tcPr>
          <w:p>
            <w:pPr>
              <w:spacing w:after="0"/>
              <w:rPr>
                <w:sz w:val="20"/>
                <w:szCs w:val="20"/>
                <w:color w:val="auto"/>
              </w:rPr>
            </w:pPr>
            <w:r>
              <w:rPr>
                <w:rFonts w:ascii="Arial" w:cs="Arial" w:eastAsia="Arial" w:hAnsi="Arial"/>
                <w:sz w:val="18"/>
                <w:szCs w:val="18"/>
                <w:color w:val="auto"/>
              </w:rPr>
              <w:t>Registrant as Specified in Its Charter)</w:t>
            </w:r>
          </w:p>
        </w:tc>
      </w:tr>
      <w:tr>
        <w:trPr>
          <w:trHeight w:val="452"/>
        </w:trPr>
        <w:tc>
          <w:tcPr>
            <w:tcW w:w="48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1520" w:type="dxa"/>
            <w:vAlign w:val="bottom"/>
          </w:tcPr>
          <w:p>
            <w:pPr>
              <w:spacing w:after="0"/>
              <w:rPr>
                <w:sz w:val="24"/>
                <w:szCs w:val="24"/>
                <w:color w:val="auto"/>
              </w:rPr>
            </w:pPr>
          </w:p>
        </w:tc>
        <w:tc>
          <w:tcPr>
            <w:tcW w:w="3040" w:type="dxa"/>
            <w:vAlign w:val="bottom"/>
            <w:gridSpan w:val="2"/>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04-2911026</w:t>
            </w:r>
          </w:p>
        </w:tc>
        <w:tc>
          <w:tcPr>
            <w:tcW w:w="840" w:type="dxa"/>
            <w:vAlign w:val="bottom"/>
          </w:tcPr>
          <w:p>
            <w:pPr>
              <w:spacing w:after="0"/>
              <w:rPr>
                <w:sz w:val="24"/>
                <w:szCs w:val="24"/>
                <w:color w:val="auto"/>
              </w:rPr>
            </w:pPr>
          </w:p>
        </w:tc>
      </w:tr>
      <w:tr>
        <w:trPr>
          <w:trHeight w:val="202"/>
        </w:trPr>
        <w:tc>
          <w:tcPr>
            <w:tcW w:w="480" w:type="dxa"/>
            <w:vAlign w:val="bottom"/>
          </w:tcPr>
          <w:p>
            <w:pPr>
              <w:ind w:left="40"/>
              <w:spacing w:after="0" w:line="201" w:lineRule="exact"/>
              <w:rPr>
                <w:sz w:val="20"/>
                <w:szCs w:val="20"/>
                <w:color w:val="auto"/>
              </w:rPr>
            </w:pPr>
            <w:r>
              <w:rPr>
                <w:rFonts w:ascii="Arial" w:cs="Arial" w:eastAsia="Arial" w:hAnsi="Arial"/>
                <w:sz w:val="18"/>
                <w:szCs w:val="18"/>
                <w:color w:val="auto"/>
                <w:w w:val="87"/>
              </w:rPr>
              <w:t>(State</w:t>
            </w:r>
          </w:p>
        </w:tc>
        <w:tc>
          <w:tcPr>
            <w:tcW w:w="276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or Other Jurisdiction of</w:t>
            </w:r>
          </w:p>
        </w:tc>
        <w:tc>
          <w:tcPr>
            <w:tcW w:w="1120" w:type="dxa"/>
            <w:vAlign w:val="bottom"/>
          </w:tcPr>
          <w:p>
            <w:pPr>
              <w:spacing w:after="0"/>
              <w:rPr>
                <w:sz w:val="17"/>
                <w:szCs w:val="17"/>
                <w:color w:val="auto"/>
              </w:rPr>
            </w:pPr>
          </w:p>
        </w:tc>
        <w:tc>
          <w:tcPr>
            <w:tcW w:w="3800" w:type="dxa"/>
            <w:vAlign w:val="bottom"/>
            <w:gridSpan w:val="3"/>
          </w:tcPr>
          <w:p>
            <w:pPr>
              <w:ind w:left="1200"/>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3240" w:type="dxa"/>
            <w:vAlign w:val="bottom"/>
            <w:gridSpan w:val="3"/>
          </w:tcPr>
          <w:p>
            <w:pPr>
              <w:jc w:val="center"/>
              <w:ind w:right="950"/>
              <w:spacing w:after="0"/>
              <w:rPr>
                <w:sz w:val="20"/>
                <w:szCs w:val="20"/>
                <w:color w:val="auto"/>
              </w:rPr>
            </w:pPr>
            <w:r>
              <w:rPr>
                <w:rFonts w:ascii="Arial" w:cs="Arial" w:eastAsia="Arial" w:hAnsi="Arial"/>
                <w:sz w:val="18"/>
                <w:szCs w:val="18"/>
                <w:color w:val="auto"/>
                <w:w w:val="91"/>
              </w:rPr>
              <w:t>Incorporation or Organization)</w:t>
            </w:r>
          </w:p>
        </w:tc>
        <w:tc>
          <w:tcPr>
            <w:tcW w:w="1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25" w:lineRule="exact"/>
        <w:rPr>
          <w:sz w:val="24"/>
          <w:szCs w:val="24"/>
          <w:color w:val="auto"/>
        </w:rPr>
      </w:pPr>
    </w:p>
    <w:p>
      <w:pPr>
        <w:ind w:left="350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both"/>
        <w:ind w:right="100"/>
        <w:spacing w:after="0" w:line="25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60"/>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the issuer’s common stock as of April 20, 2015:</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Class</w:t>
            </w:r>
          </w:p>
        </w:tc>
        <w:tc>
          <w:tcPr>
            <w:tcW w:w="5580" w:type="dxa"/>
            <w:vAlign w:val="bottom"/>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Number of Shares Outstanding</w:t>
            </w:r>
          </w:p>
        </w:tc>
        <w:tc>
          <w:tcPr>
            <w:tcW w:w="2340" w:type="dxa"/>
            <w:vAlign w:val="bottom"/>
          </w:tcPr>
          <w:p>
            <w:pPr>
              <w:spacing w:after="0"/>
              <w:rPr>
                <w:sz w:val="20"/>
                <w:szCs w:val="20"/>
                <w:color w:val="auto"/>
              </w:rPr>
            </w:pPr>
          </w:p>
        </w:tc>
      </w:tr>
      <w:tr>
        <w:trPr>
          <w:trHeight w:val="230"/>
        </w:trPr>
        <w:tc>
          <w:tcPr>
            <w:tcW w:w="6680" w:type="dxa"/>
            <w:vAlign w:val="bottom"/>
            <w:gridSpan w:val="3"/>
          </w:tcPr>
          <w:p>
            <w:pPr>
              <w:ind w:left="60"/>
              <w:spacing w:after="0"/>
              <w:rPr>
                <w:sz w:val="20"/>
                <w:szCs w:val="20"/>
                <w:color w:val="auto"/>
              </w:rPr>
            </w:pPr>
            <w:r>
              <w:rPr>
                <w:rFonts w:ascii="Arial" w:cs="Arial" w:eastAsia="Arial" w:hAnsi="Arial"/>
                <w:sz w:val="18"/>
                <w:szCs w:val="18"/>
                <w:color w:val="auto"/>
              </w:rPr>
              <w:t>Common Stock, par value $0.01 per share</w:t>
            </w:r>
          </w:p>
        </w:tc>
        <w:tc>
          <w:tcPr>
            <w:tcW w:w="2400" w:type="dxa"/>
            <w:vAlign w:val="bottom"/>
          </w:tcPr>
          <w:p>
            <w:pPr>
              <w:ind w:left="320"/>
              <w:spacing w:after="0"/>
              <w:rPr>
                <w:sz w:val="20"/>
                <w:szCs w:val="20"/>
                <w:color w:val="auto"/>
              </w:rPr>
            </w:pPr>
            <w:r>
              <w:rPr>
                <w:rFonts w:ascii="Arial" w:cs="Arial" w:eastAsia="Arial" w:hAnsi="Arial"/>
                <w:sz w:val="18"/>
                <w:szCs w:val="18"/>
                <w:color w:val="auto"/>
              </w:rPr>
              <w:t>22,865,565 shares</w:t>
            </w:r>
          </w:p>
        </w:tc>
        <w:tc>
          <w:tcPr>
            <w:tcW w:w="2340" w:type="dxa"/>
            <w:vAlign w:val="bottom"/>
          </w:tcPr>
          <w:p>
            <w:pPr>
              <w:spacing w:after="0"/>
              <w:rPr>
                <w:sz w:val="20"/>
                <w:szCs w:val="20"/>
                <w:color w:val="auto"/>
              </w:rPr>
            </w:pPr>
          </w:p>
        </w:tc>
      </w:tr>
      <w:tr>
        <w:trPr>
          <w:trHeight w:val="104"/>
        </w:trPr>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340" w:type="dxa"/>
            <w:vAlign w:val="bottom"/>
          </w:tcPr>
          <w:p>
            <w:pPr>
              <w:spacing w:after="0"/>
              <w:rPr>
                <w:sz w:val="9"/>
                <w:szCs w:val="9"/>
                <w:color w:val="auto"/>
              </w:rPr>
            </w:pPr>
          </w:p>
        </w:tc>
      </w:tr>
      <w:tr>
        <w:trPr>
          <w:trHeight w:val="71"/>
        </w:trPr>
        <w:tc>
          <w:tcPr>
            <w:tcW w:w="42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5580" w:type="dxa"/>
            <w:vAlign w:val="bottom"/>
            <w:shd w:val="clear" w:color="auto" w:fill="808080"/>
          </w:tcPr>
          <w:p>
            <w:pPr>
              <w:spacing w:after="0"/>
              <w:rPr>
                <w:sz w:val="6"/>
                <w:szCs w:val="6"/>
                <w:color w:val="auto"/>
              </w:rPr>
            </w:pPr>
          </w:p>
        </w:tc>
        <w:tc>
          <w:tcPr>
            <w:tcW w:w="2400" w:type="dxa"/>
            <w:vAlign w:val="bottom"/>
            <w:shd w:val="clear" w:color="auto" w:fill="808080"/>
          </w:tcPr>
          <w:p>
            <w:pPr>
              <w:spacing w:after="0"/>
              <w:rPr>
                <w:sz w:val="6"/>
                <w:szCs w:val="6"/>
                <w:color w:val="auto"/>
              </w:rPr>
            </w:pPr>
          </w:p>
        </w:tc>
        <w:tc>
          <w:tcPr>
            <w:tcW w:w="2340" w:type="dxa"/>
            <w:vAlign w:val="bottom"/>
            <w:shd w:val="clear" w:color="auto" w:fill="808080"/>
          </w:tcPr>
          <w:p>
            <w:pPr>
              <w:spacing w:after="0"/>
              <w:rPr>
                <w:sz w:val="6"/>
                <w:szCs w:val="6"/>
                <w:color w:val="auto"/>
              </w:rPr>
            </w:pPr>
          </w:p>
        </w:tc>
      </w:tr>
      <w:tr>
        <w:trPr>
          <w:trHeight w:val="419"/>
        </w:trPr>
        <w:tc>
          <w:tcPr>
            <w:tcW w:w="42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5580" w:type="dxa"/>
            <w:vAlign w:val="bottom"/>
            <w:tcBorders>
              <w:bottom w:val="single" w:sz="8" w:color="DCDCDC"/>
            </w:tcBorders>
          </w:tcPr>
          <w:p>
            <w:pPr>
              <w:spacing w:after="0"/>
              <w:rPr>
                <w:sz w:val="24"/>
                <w:szCs w:val="24"/>
                <w:color w:val="auto"/>
              </w:rPr>
            </w:pPr>
          </w:p>
        </w:tc>
        <w:tc>
          <w:tcPr>
            <w:tcW w:w="2400" w:type="dxa"/>
            <w:vAlign w:val="bottom"/>
            <w:tcBorders>
              <w:bottom w:val="single" w:sz="8" w:color="DCDCDC"/>
            </w:tcBorders>
          </w:tcPr>
          <w:p>
            <w:pPr>
              <w:spacing w:after="0"/>
              <w:rPr>
                <w:sz w:val="24"/>
                <w:szCs w:val="24"/>
                <w:color w:val="auto"/>
              </w:rPr>
            </w:pPr>
          </w:p>
        </w:tc>
        <w:tc>
          <w:tcPr>
            <w:tcW w:w="23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1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Page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PART I</w:t>
            </w:r>
          </w:p>
        </w:tc>
        <w:tc>
          <w:tcPr>
            <w:tcW w:w="9460" w:type="dxa"/>
            <w:vAlign w:val="bottom"/>
          </w:tcPr>
          <w:p>
            <w:pPr>
              <w:ind w:left="380"/>
              <w:spacing w:after="0"/>
              <w:rPr>
                <w:sz w:val="20"/>
                <w:szCs w:val="20"/>
                <w:color w:val="auto"/>
              </w:rPr>
            </w:pPr>
            <w:r>
              <w:rPr>
                <w:rFonts w:ascii="Arial" w:cs="Arial" w:eastAsia="Arial" w:hAnsi="Arial"/>
                <w:sz w:val="18"/>
                <w:szCs w:val="18"/>
                <w:color w:val="auto"/>
              </w:rPr>
              <w:t>FINANCIAL INFORMATION</w:t>
            </w:r>
          </w:p>
        </w:tc>
        <w:tc>
          <w:tcPr>
            <w:tcW w:w="940" w:type="dxa"/>
            <w:vAlign w:val="bottom"/>
          </w:tcPr>
          <w:p>
            <w:pPr>
              <w:spacing w:after="0"/>
              <w:rPr>
                <w:sz w:val="18"/>
                <w:szCs w:val="18"/>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tcPr>
          <w:p>
            <w:pPr>
              <w:ind w:left="380"/>
              <w:spacing w:after="0"/>
              <w:rPr>
                <w:sz w:val="20"/>
                <w:szCs w:val="20"/>
                <w:color w:val="auto"/>
              </w:rPr>
            </w:pPr>
            <w:r>
              <w:rPr>
                <w:rFonts w:ascii="Arial" w:cs="Arial" w:eastAsia="Arial" w:hAnsi="Arial"/>
                <w:sz w:val="18"/>
                <w:szCs w:val="18"/>
                <w:color w:val="auto"/>
              </w:rPr>
              <w:t>Unaudited Consolidated Financial Statements</w:t>
            </w:r>
          </w:p>
        </w:tc>
        <w:tc>
          <w:tcPr>
            <w:tcW w:w="94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Consolidated Balance Sheets as of March 31, 2015 and December 31, 2014</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02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w w:val="93"/>
              </w:rPr>
              <w:t>Consolidated Statements of Income and Comprehensive Income for the Three Months Ended March 31, 2015 and March</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020" w:type="dxa"/>
            <w:vAlign w:val="bottom"/>
          </w:tcPr>
          <w:p>
            <w:pPr>
              <w:spacing w:after="0"/>
              <w:rPr>
                <w:sz w:val="20"/>
                <w:szCs w:val="20"/>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31, 2014</w:t>
            </w:r>
          </w:p>
        </w:tc>
        <w:tc>
          <w:tcPr>
            <w:tcW w:w="94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Consolidated Statements of Cash Flows for the Three Months Ended March 31, 2015 and March 31, 2014</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02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Notes to Consolidated Financial Statements</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460" w:type="dxa"/>
            <w:vAlign w:val="bottom"/>
          </w:tcPr>
          <w:p>
            <w:pPr>
              <w:ind w:left="3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460" w:type="dxa"/>
            <w:vAlign w:val="bottom"/>
          </w:tcPr>
          <w:p>
            <w:pPr>
              <w:ind w:left="380"/>
              <w:spacing w:after="0"/>
              <w:rPr>
                <w:sz w:val="20"/>
                <w:szCs w:val="20"/>
                <w:color w:val="auto"/>
              </w:rPr>
            </w:pPr>
            <w:r>
              <w:rPr>
                <w:rFonts w:ascii="Arial" w:cs="Arial" w:eastAsia="Arial" w:hAnsi="Arial"/>
                <w:sz w:val="18"/>
                <w:szCs w:val="18"/>
                <w:color w:val="auto"/>
              </w:rPr>
              <w:t>Quantitative and Qualitative Disclosures about Market Risk</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460" w:type="dxa"/>
            <w:vAlign w:val="bottom"/>
          </w:tcPr>
          <w:p>
            <w:pPr>
              <w:ind w:left="380"/>
              <w:spacing w:after="0"/>
              <w:rPr>
                <w:sz w:val="20"/>
                <w:szCs w:val="20"/>
                <w:color w:val="auto"/>
              </w:rPr>
            </w:pPr>
            <w:r>
              <w:rPr>
                <w:rFonts w:ascii="Arial" w:cs="Arial" w:eastAsia="Arial" w:hAnsi="Arial"/>
                <w:sz w:val="18"/>
                <w:szCs w:val="18"/>
                <w:color w:val="auto"/>
              </w:rPr>
              <w:t>Controls and Procedures</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PART II</w:t>
            </w:r>
          </w:p>
        </w:tc>
        <w:tc>
          <w:tcPr>
            <w:tcW w:w="9460" w:type="dxa"/>
            <w:vAlign w:val="bottom"/>
          </w:tcPr>
          <w:p>
            <w:pPr>
              <w:ind w:left="380"/>
              <w:spacing w:after="0"/>
              <w:rPr>
                <w:sz w:val="20"/>
                <w:szCs w:val="20"/>
                <w:color w:val="auto"/>
              </w:rPr>
            </w:pPr>
            <w:r>
              <w:rPr>
                <w:rFonts w:ascii="Arial" w:cs="Arial" w:eastAsia="Arial" w:hAnsi="Arial"/>
                <w:sz w:val="18"/>
                <w:szCs w:val="18"/>
                <w:color w:val="auto"/>
              </w:rPr>
              <w:t>OTHER INFORMATION</w:t>
            </w:r>
          </w:p>
        </w:tc>
        <w:tc>
          <w:tcPr>
            <w:tcW w:w="9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tcPr>
          <w:p>
            <w:pPr>
              <w:ind w:left="380"/>
              <w:spacing w:after="0"/>
              <w:rPr>
                <w:sz w:val="20"/>
                <w:szCs w:val="20"/>
                <w:color w:val="auto"/>
              </w:rPr>
            </w:pPr>
            <w:r>
              <w:rPr>
                <w:rFonts w:ascii="Arial" w:cs="Arial" w:eastAsia="Arial" w:hAnsi="Arial"/>
                <w:sz w:val="18"/>
                <w:szCs w:val="18"/>
                <w:color w:val="auto"/>
              </w:rPr>
              <w:t>Legal Proceedings</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460" w:type="dxa"/>
            <w:vAlign w:val="bottom"/>
          </w:tcPr>
          <w:p>
            <w:pPr>
              <w:ind w:left="380"/>
              <w:spacing w:after="0"/>
              <w:rPr>
                <w:sz w:val="20"/>
                <w:szCs w:val="20"/>
                <w:color w:val="auto"/>
              </w:rPr>
            </w:pPr>
            <w:r>
              <w:rPr>
                <w:rFonts w:ascii="Arial" w:cs="Arial" w:eastAsia="Arial" w:hAnsi="Arial"/>
                <w:sz w:val="18"/>
                <w:szCs w:val="18"/>
                <w:color w:val="auto"/>
              </w:rPr>
              <w:t>Risk Factors</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460" w:type="dxa"/>
            <w:vAlign w:val="bottom"/>
          </w:tcPr>
          <w:p>
            <w:pPr>
              <w:ind w:left="380"/>
              <w:spacing w:after="0"/>
              <w:rPr>
                <w:sz w:val="20"/>
                <w:szCs w:val="20"/>
                <w:color w:val="auto"/>
              </w:rPr>
            </w:pPr>
            <w:r>
              <w:rPr>
                <w:rFonts w:ascii="Arial" w:cs="Arial" w:eastAsia="Arial" w:hAnsi="Arial"/>
                <w:sz w:val="18"/>
                <w:szCs w:val="18"/>
                <w:color w:val="auto"/>
              </w:rPr>
              <w:t>Mine Safety Disclosures</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460" w:type="dxa"/>
            <w:vAlign w:val="bottom"/>
          </w:tcPr>
          <w:p>
            <w:pPr>
              <w:ind w:left="380"/>
              <w:spacing w:after="0"/>
              <w:rPr>
                <w:sz w:val="20"/>
                <w:szCs w:val="20"/>
                <w:color w:val="auto"/>
              </w:rPr>
            </w:pPr>
            <w:r>
              <w:rPr>
                <w:rFonts w:ascii="Arial" w:cs="Arial" w:eastAsia="Arial" w:hAnsi="Arial"/>
                <w:sz w:val="18"/>
                <w:szCs w:val="18"/>
                <w:color w:val="auto"/>
              </w:rPr>
              <w:t>Exhibits</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020" w:type="dxa"/>
            <w:vAlign w:val="bottom"/>
          </w:tcPr>
          <w:p>
            <w:pPr>
              <w:spacing w:after="0"/>
              <w:rPr>
                <w:sz w:val="24"/>
                <w:szCs w:val="24"/>
                <w:color w:val="auto"/>
              </w:rPr>
            </w:pPr>
          </w:p>
        </w:tc>
        <w:tc>
          <w:tcPr>
            <w:tcW w:w="9460" w:type="dxa"/>
            <w:vAlign w:val="bottom"/>
          </w:tcPr>
          <w:p>
            <w:pPr>
              <w:ind w:left="380"/>
              <w:spacing w:after="0"/>
              <w:rPr>
                <w:sz w:val="20"/>
                <w:szCs w:val="20"/>
                <w:color w:val="auto"/>
              </w:rPr>
            </w:pPr>
            <w:r>
              <w:rPr>
                <w:rFonts w:ascii="Arial" w:cs="Arial" w:eastAsia="Arial" w:hAnsi="Arial"/>
                <w:sz w:val="18"/>
                <w:szCs w:val="18"/>
                <w:color w:val="auto"/>
              </w:rPr>
              <w:t>Signatures</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675"/>
        </w:trPr>
        <w:tc>
          <w:tcPr>
            <w:tcW w:w="1020" w:type="dxa"/>
            <w:vAlign w:val="bottom"/>
            <w:tcBorders>
              <w:bottom w:val="single" w:sz="8" w:color="DCDCDC"/>
            </w:tcBorders>
          </w:tcPr>
          <w:p>
            <w:pPr>
              <w:spacing w:after="0"/>
              <w:rPr>
                <w:sz w:val="24"/>
                <w:szCs w:val="24"/>
                <w:color w:val="auto"/>
              </w:rPr>
            </w:pPr>
          </w:p>
        </w:tc>
        <w:tc>
          <w:tcPr>
            <w:tcW w:w="9460" w:type="dxa"/>
            <w:vAlign w:val="bottom"/>
            <w:tcBorders>
              <w:bottom w:val="single" w:sz="8" w:color="DCDCDC"/>
            </w:tcBorders>
          </w:tcPr>
          <w:p>
            <w:pPr>
              <w:ind w:left="4640"/>
              <w:spacing w:after="0"/>
              <w:rPr>
                <w:sz w:val="20"/>
                <w:szCs w:val="20"/>
                <w:color w:val="auto"/>
              </w:rPr>
            </w:pPr>
            <w:r>
              <w:rPr>
                <w:rFonts w:ascii="Arial" w:cs="Arial" w:eastAsia="Arial" w:hAnsi="Arial"/>
                <w:sz w:val="18"/>
                <w:szCs w:val="18"/>
                <w:color w:val="auto"/>
              </w:rPr>
              <w:t>2</w:t>
            </w:r>
          </w:p>
        </w:tc>
        <w:tc>
          <w:tcPr>
            <w:tcW w:w="9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44,685</w:t>
            </w:r>
          </w:p>
        </w:tc>
        <w:tc>
          <w:tcPr>
            <w:tcW w:w="14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43,985</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88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Long term deferred tax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Preferred stock, $1.00 par value; 1,000,000 shares authorized, none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w w:val="94"/>
              </w:rPr>
              <w:t>Common stock, $.01 par value; 70,000,000 shares authorized; issued and outstanding 22,865,565 as of March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2015 and 22,808,761 as of December 31, 2014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104,271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103,756</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(51,294)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(51,566)</w:t>
            </w:r>
          </w:p>
        </w:tc>
        <w:tc>
          <w:tcPr>
            <w:tcW w:w="0" w:type="dxa"/>
            <w:vAlign w:val="bottom"/>
          </w:tcPr>
          <w:p>
            <w:pPr>
              <w:spacing w:after="0"/>
              <w:rPr>
                <w:sz w:val="1"/>
                <w:szCs w:val="1"/>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56,240</w:t>
            </w:r>
          </w:p>
        </w:tc>
        <w:tc>
          <w:tcPr>
            <w:tcW w:w="140" w:type="dxa"/>
            <w:vAlign w:val="bottom"/>
          </w:tcPr>
          <w:p>
            <w:pPr>
              <w:spacing w:after="0"/>
              <w:rPr>
                <w:sz w:val="24"/>
                <w:szCs w:val="24"/>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55,893</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20" w:type="dxa"/>
            <w:vAlign w:val="bottom"/>
          </w:tcPr>
          <w:p>
            <w:pPr>
              <w:spacing w:after="0"/>
              <w:rPr>
                <w:sz w:val="19"/>
                <w:szCs w:val="19"/>
                <w:color w:val="auto"/>
              </w:rPr>
            </w:pP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Software licenses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1,649</w:t>
            </w:r>
          </w:p>
        </w:tc>
        <w:tc>
          <w:tcPr>
            <w:tcW w:w="20" w:type="dxa"/>
            <w:vAlign w:val="bottom"/>
          </w:tcPr>
          <w:p>
            <w:pPr>
              <w:spacing w:after="0"/>
              <w:rPr>
                <w:sz w:val="18"/>
                <w:szCs w:val="18"/>
                <w:color w:val="auto"/>
              </w:rPr>
            </w:pP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1,617</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Software maintenance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1,045</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1,008</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Hardware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2,633</w:t>
            </w:r>
          </w:p>
        </w:tc>
      </w:tr>
      <w:tr>
        <w:trPr>
          <w:trHeight w:val="237"/>
        </w:trPr>
        <w:tc>
          <w:tcPr>
            <w:tcW w:w="8820" w:type="dxa"/>
            <w:vAlign w:val="bottom"/>
          </w:tcPr>
          <w:p>
            <w:pPr>
              <w:ind w:left="340"/>
              <w:spacing w:after="0"/>
              <w:rPr>
                <w:sz w:val="20"/>
                <w:szCs w:val="20"/>
                <w:color w:val="auto"/>
              </w:rPr>
            </w:pPr>
            <w:r>
              <w:rPr>
                <w:rFonts w:ascii="Arial" w:cs="Arial" w:eastAsia="Arial" w:hAnsi="Arial"/>
                <w:sz w:val="18"/>
                <w:szCs w:val="18"/>
                <w:color w:val="auto"/>
              </w:rPr>
              <w:t>Royalties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6,617</w:t>
            </w:r>
          </w:p>
        </w:tc>
        <w:tc>
          <w:tcPr>
            <w:tcW w:w="2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Cost of hardware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1,902</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1,279</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858</w:t>
            </w:r>
          </w:p>
        </w:tc>
      </w:tr>
      <w:tr>
        <w:trPr>
          <w:trHeight w:val="237"/>
        </w:trPr>
        <w:tc>
          <w:tcPr>
            <w:tcW w:w="88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w:t>
            </w:r>
          </w:p>
        </w:tc>
        <w:tc>
          <w:tcPr>
            <w:tcW w:w="2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1,311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1,397</w:t>
            </w:r>
          </w:p>
        </w:tc>
        <w:tc>
          <w:tcPr>
            <w:tcW w:w="20" w:type="dxa"/>
            <w:vAlign w:val="bottom"/>
          </w:tcPr>
          <w:p>
            <w:pPr>
              <w:spacing w:after="0"/>
              <w:rPr>
                <w:sz w:val="17"/>
                <w:szCs w:val="17"/>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20"/>
                <w:szCs w:val="20"/>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7"/>
        </w:trPr>
        <w:tc>
          <w:tcPr>
            <w:tcW w:w="882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r>
      <w:tr>
        <w:trPr>
          <w:trHeight w:val="634"/>
        </w:trPr>
        <w:tc>
          <w:tcPr>
            <w:tcW w:w="8820" w:type="dxa"/>
            <w:vAlign w:val="bottom"/>
          </w:tcPr>
          <w:p>
            <w:pPr>
              <w:spacing w:after="0"/>
              <w:rPr>
                <w:sz w:val="20"/>
                <w:szCs w:val="20"/>
                <w:color w:val="auto"/>
              </w:rPr>
            </w:pPr>
            <w:r>
              <w:rPr>
                <w:rFonts w:ascii="Arial" w:cs="Arial" w:eastAsia="Arial" w:hAnsi="Arial"/>
                <w:sz w:val="18"/>
                <w:szCs w:val="18"/>
                <w:color w:val="auto"/>
              </w:rPr>
              <w:t>Weighted-average shares - basic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22,866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22,626</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Weighted-average shares - diluted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22,887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22,699</w:t>
            </w: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8820" w:type="dxa"/>
            <w:vAlign w:val="bottom"/>
          </w:tcPr>
          <w:p>
            <w:pPr>
              <w:ind w:left="500"/>
              <w:spacing w:after="0"/>
              <w:rPr>
                <w:sz w:val="20"/>
                <w:szCs w:val="20"/>
                <w:color w:val="auto"/>
              </w:rPr>
            </w:pPr>
            <w:r>
              <w:rPr>
                <w:rFonts w:ascii="Arial" w:cs="Arial" w:eastAsia="Arial" w:hAnsi="Arial"/>
                <w:sz w:val="18"/>
                <w:szCs w:val="18"/>
                <w:color w:val="auto"/>
              </w:rPr>
              <w:t>Unrealized gains on available for sale securities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18"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Deferred tax provision on other comprehensive income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Gain on sale of investments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Amortization of premium/(discount) on investments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88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82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Sales of investments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Purchase of other assets</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Payments made for taxes of employees who surrendered shares related to unrestricted stock</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8820" w:type="dxa"/>
            <w:vAlign w:val="bottom"/>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44,685</w:t>
            </w:r>
          </w:p>
        </w:tc>
        <w:tc>
          <w:tcPr>
            <w:tcW w:w="140" w:type="dxa"/>
            <w:vAlign w:val="bottom"/>
          </w:tcPr>
          <w:p>
            <w:pPr>
              <w:spacing w:after="0"/>
              <w:rPr>
                <w:sz w:val="24"/>
                <w:szCs w:val="24"/>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74,368</w:t>
            </w: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color w:val="auto"/>
              </w:rPr>
              <w:t>Supplemental disclosure: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consolidated financial statements have been prepared in accordance with the instructions for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2014 in conjunction with our 2014 Annual Report on Form 10-K. This Form 10-Q should be read in conjunction with that Form 10-K.</w:t>
      </w:r>
    </w:p>
    <w:p>
      <w:pPr>
        <w:spacing w:after="0" w:line="215"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The accompanying unaudited consolidated balance sheets, statements of income and comprehensive income, and statements of cash flows reflect all adjustments (consisting only of normal recurring items) which are, in the opinion of management, necessary for a fair presentation of financial position at March 31, 2015, and of operations and cash flows for the interim periods ended March 31, 2015 and 2014.</w:t>
      </w:r>
    </w:p>
    <w:p>
      <w:pPr>
        <w:spacing w:after="0" w:line="19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results of operations for the interim period ended March 31, 2015 are not necessarily indicative of the results to be expected for the year.</w:t>
      </w:r>
    </w:p>
    <w:p>
      <w:pPr>
        <w:spacing w:after="0" w:line="263"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The Financial Accounting Standards Board (“FASB”) Codification defines fair value, and establishes a fair value hierarchy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i) Level 1 – valuations that are based on quoted prices (unadjusted) in active markets for identical assets or liabilities that the reporting entity has the ability to access at the measurement date; ii) Level 2 – valuations that are based on quoted prices in markets that are not active or for which all significant inputs are observable, either directly or indirectly; and iii) Level 3 – valuations that require inputs that are both significant to the fair value measurement and unobservable.</w:t>
      </w:r>
    </w:p>
    <w:p>
      <w:pPr>
        <w:spacing w:after="0" w:line="204"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Cash and cash equivalents, which primarily include money market mutual funds, were $44.7 million and $44.0 million as of March 31, 2015 and December 31, 2014, respectively. We classified our cash equivalents of $34.9 million and $34.3 million as of March 31, 2015 and December 31, 2014 within Level 1 of the fair value hierarchy because they are valued using quoted market prices.</w:t>
      </w:r>
    </w:p>
    <w:p>
      <w:pPr>
        <w:spacing w:after="0" w:line="208" w:lineRule="exact"/>
        <w:rPr>
          <w:rFonts w:ascii="Arial" w:cs="Arial" w:eastAsia="Arial" w:hAnsi="Arial"/>
          <w:sz w:val="17"/>
          <w:szCs w:val="17"/>
          <w:color w:val="auto"/>
        </w:rPr>
      </w:pPr>
    </w:p>
    <w:p>
      <w:pPr>
        <w:jc w:val="both"/>
        <w:ind w:left="340"/>
        <w:spacing w:after="0" w:line="286" w:lineRule="auto"/>
        <w:rPr>
          <w:rFonts w:ascii="Arial" w:cs="Arial" w:eastAsia="Arial" w:hAnsi="Arial"/>
          <w:sz w:val="17"/>
          <w:szCs w:val="17"/>
          <w:color w:val="auto"/>
        </w:rPr>
      </w:pPr>
      <w:r>
        <w:rPr>
          <w:rFonts w:ascii="Arial" w:cs="Arial" w:eastAsia="Arial" w:hAnsi="Arial"/>
          <w:sz w:val="17"/>
          <w:szCs w:val="17"/>
          <w:color w:val="auto"/>
        </w:rPr>
        <w:t>Our investments, which consist of high yield corporate debt securities, are also classified within Level 1 of the fair value hierarchy because they are valued using quoted market prices. We categorize our investments as available-for-sale securities, and carry them at fair value in our financial statements. We had $0.9 million and $1.4 million of available-for-sale investments as of March 31, 2015 and December 31, 2014, respectively.</w:t>
      </w:r>
    </w:p>
    <w:p>
      <w:pPr>
        <w:spacing w:after="0" w:line="192"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As of March 31, 2015, our assets that are measured at fair value on a recurring basis and whose carrying values approximate their respective fair values include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gridSpan w:val="11"/>
          </w:tcPr>
          <w:p>
            <w:pPr>
              <w:ind w:left="240"/>
              <w:spacing w:after="0"/>
              <w:rPr>
                <w:sz w:val="20"/>
                <w:szCs w:val="20"/>
                <w:color w:val="auto"/>
              </w:rPr>
            </w:pPr>
            <w:r>
              <w:rPr>
                <w:rFonts w:ascii="Arial" w:cs="Arial" w:eastAsia="Arial" w:hAnsi="Arial"/>
                <w:sz w:val="18"/>
                <w:szCs w:val="18"/>
                <w:color w:val="auto"/>
              </w:rPr>
              <w:t>Fair Value Measurement at March 31, 2015 Using:</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Borders>
              <w:top w:val="single" w:sz="8" w:color="auto"/>
            </w:tcBorders>
            <w:gridSpan w:val="4"/>
          </w:tcPr>
          <w:p>
            <w:pPr>
              <w:jc w:val="right"/>
              <w:ind w:right="200"/>
              <w:spacing w:after="0" w:line="201" w:lineRule="exact"/>
              <w:rPr>
                <w:sz w:val="20"/>
                <w:szCs w:val="20"/>
                <w:color w:val="auto"/>
              </w:rPr>
            </w:pPr>
            <w:r>
              <w:rPr>
                <w:rFonts w:ascii="Arial" w:cs="Arial" w:eastAsia="Arial" w:hAnsi="Arial"/>
                <w:sz w:val="18"/>
                <w:szCs w:val="18"/>
                <w:color w:val="auto"/>
                <w:w w:val="93"/>
              </w:rPr>
              <w:t>Quoted Prices in</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3"/>
              </w:rPr>
              <w:t>Significant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w w:val="99"/>
              </w:rPr>
              <w:t>Active Markets for</w:t>
            </w: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Unobservable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Identical Assets</w:t>
            </w:r>
          </w:p>
        </w:tc>
        <w:tc>
          <w:tcPr>
            <w:tcW w:w="1500" w:type="dxa"/>
            <w:vAlign w:val="bottom"/>
            <w:gridSpan w:val="4"/>
          </w:tcPr>
          <w:p>
            <w:pPr>
              <w:ind w:left="100"/>
              <w:spacing w:after="0"/>
              <w:rPr>
                <w:sz w:val="20"/>
                <w:szCs w:val="20"/>
                <w:color w:val="auto"/>
              </w:rPr>
            </w:pPr>
            <w:r>
              <w:rPr>
                <w:rFonts w:ascii="Arial" w:cs="Arial" w:eastAsia="Arial" w:hAnsi="Arial"/>
                <w:sz w:val="18"/>
                <w:szCs w:val="18"/>
                <w:color w:val="auto"/>
                <w:w w:val="94"/>
              </w:rPr>
              <w:t>Observable 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Inputs</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26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02"/>
        </w:trPr>
        <w:tc>
          <w:tcPr>
            <w:tcW w:w="5180" w:type="dxa"/>
            <w:vAlign w:val="bottom"/>
          </w:tcPr>
          <w:p>
            <w:pPr>
              <w:ind w:left="340"/>
              <w:spacing w:after="0" w:line="201" w:lineRule="exact"/>
              <w:rPr>
                <w:sz w:val="20"/>
                <w:szCs w:val="20"/>
                <w:color w:val="auto"/>
              </w:rPr>
            </w:pPr>
            <w:r>
              <w:rPr>
                <w:rFonts w:ascii="Arial" w:cs="Arial" w:eastAsia="Arial" w:hAnsi="Arial"/>
                <w:sz w:val="18"/>
                <w:szCs w:val="18"/>
                <w:color w:val="auto"/>
              </w:rPr>
              <w:t>Corporate debt securities</w:t>
            </w:r>
          </w:p>
        </w:tc>
        <w:tc>
          <w:tcPr>
            <w:tcW w:w="148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340"/>
              <w:spacing w:after="0"/>
              <w:rPr>
                <w:sz w:val="20"/>
                <w:szCs w:val="20"/>
                <w:color w:val="auto"/>
              </w:rPr>
            </w:pPr>
            <w:r>
              <w:rPr>
                <w:rFonts w:ascii="Arial" w:cs="Arial" w:eastAsia="Arial" w:hAnsi="Arial"/>
                <w:sz w:val="18"/>
                <w:szCs w:val="18"/>
                <w:color w:val="auto"/>
                <w:w w:val="99"/>
              </w:rPr>
              <w:t>Money market funds (included in cash and cash equivalents)</w:t>
            </w: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34,930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35,855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80" w:type="dxa"/>
            <w:vAlign w:val="bottom"/>
            <w:vMerge w:val="restart"/>
          </w:tcPr>
          <w:p>
            <w:pPr>
              <w:jc w:val="right"/>
              <w:ind w:right="81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180" w:type="dxa"/>
            <w:vAlign w:val="bottom"/>
            <w:tcBorders>
              <w:bottom w:val="single" w:sz="8" w:color="DCDCDC"/>
            </w:tcBorders>
          </w:tcPr>
          <w:p>
            <w:pPr>
              <w:spacing w:after="0"/>
              <w:rPr>
                <w:sz w:val="24"/>
                <w:szCs w:val="24"/>
                <w:color w:val="auto"/>
              </w:rPr>
            </w:pPr>
          </w:p>
        </w:tc>
        <w:tc>
          <w:tcPr>
            <w:tcW w:w="1480" w:type="dxa"/>
            <w:vAlign w:val="bottom"/>
            <w:tcBorders>
              <w:bottom w:val="single" w:sz="8" w:color="DCDCDC"/>
            </w:tcBorders>
            <w:vMerge w:val="continue"/>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8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6" w:name="page7"/>
    <w:bookmarkEnd w:id="6"/>
    <w:p>
      <w:pPr>
        <w:ind w:left="332"/>
        <w:spacing w:after="0" w:line="277" w:lineRule="auto"/>
        <w:rPr>
          <w:sz w:val="20"/>
          <w:szCs w:val="20"/>
          <w:color w:val="auto"/>
        </w:rPr>
      </w:pPr>
      <w:r>
        <w:rPr>
          <w:rFonts w:ascii="Arial" w:cs="Arial" w:eastAsia="Arial" w:hAnsi="Arial"/>
          <w:sz w:val="18"/>
          <w:szCs w:val="18"/>
          <w:color w:val="auto"/>
        </w:rPr>
        <w:t>As of December 31, 2014, our assets that are measured at fair value on a recurring basis and whose carrying values approximate their respective fair values include the following (in thousands):</w:t>
      </w:r>
    </w:p>
    <w:p>
      <w:pPr>
        <w:spacing w:after="0" w:line="197" w:lineRule="exact"/>
        <w:rPr>
          <w:sz w:val="20"/>
          <w:szCs w:val="20"/>
          <w:color w:val="auto"/>
        </w:rPr>
      </w:pPr>
    </w:p>
    <w:tbl>
      <w:tblPr>
        <w:tblLayout w:type="fixed"/>
        <w:tblInd w:w="332" w:type="dxa"/>
        <w:tblCellMar>
          <w:top w:w="0" w:type="dxa"/>
          <w:left w:w="0" w:type="dxa"/>
          <w:bottom w:w="0" w:type="dxa"/>
          <w:right w:w="0" w:type="dxa"/>
        </w:tblCellMar>
      </w:tblPr>
      <w:tr>
        <w:trPr>
          <w:trHeight w:val="237"/>
        </w:trPr>
        <w:tc>
          <w:tcPr>
            <w:tcW w:w="6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40" w:type="dxa"/>
            <w:vAlign w:val="bottom"/>
            <w:gridSpan w:val="11"/>
          </w:tcPr>
          <w:p>
            <w:pPr>
              <w:ind w:left="100"/>
              <w:spacing w:after="0"/>
              <w:rPr>
                <w:sz w:val="20"/>
                <w:szCs w:val="20"/>
                <w:color w:val="auto"/>
              </w:rPr>
            </w:pPr>
            <w:r>
              <w:rPr>
                <w:rFonts w:ascii="Arial" w:cs="Arial" w:eastAsia="Arial" w:hAnsi="Arial"/>
                <w:sz w:val="18"/>
                <w:szCs w:val="18"/>
                <w:color w:val="auto"/>
                <w:w w:val="94"/>
              </w:rPr>
              <w:t>Fair Value Measurement at December 31, 2014 Using:</w:t>
            </w:r>
          </w:p>
        </w:tc>
      </w:tr>
      <w:tr>
        <w:trPr>
          <w:trHeight w:val="202"/>
        </w:trPr>
        <w:tc>
          <w:tcPr>
            <w:tcW w:w="6320" w:type="dxa"/>
            <w:vAlign w:val="bottom"/>
          </w:tcPr>
          <w:p>
            <w:pPr>
              <w:spacing w:after="0"/>
              <w:rPr>
                <w:sz w:val="17"/>
                <w:szCs w:val="17"/>
                <w:color w:val="auto"/>
              </w:rPr>
            </w:pPr>
          </w:p>
        </w:tc>
        <w:tc>
          <w:tcPr>
            <w:tcW w:w="1460" w:type="dxa"/>
            <w:vAlign w:val="bottom"/>
            <w:tcBorders>
              <w:top w:val="single" w:sz="8" w:color="auto"/>
            </w:tcBorders>
            <w:gridSpan w:val="4"/>
          </w:tcPr>
          <w:p>
            <w:pPr>
              <w:jc w:val="right"/>
              <w:ind w:right="200"/>
              <w:spacing w:after="0" w:line="201" w:lineRule="exact"/>
              <w:rPr>
                <w:sz w:val="20"/>
                <w:szCs w:val="20"/>
                <w:color w:val="auto"/>
              </w:rPr>
            </w:pPr>
            <w:r>
              <w:rPr>
                <w:rFonts w:ascii="Arial" w:cs="Arial" w:eastAsia="Arial" w:hAnsi="Arial"/>
                <w:sz w:val="18"/>
                <w:szCs w:val="18"/>
                <w:color w:val="auto"/>
                <w:w w:val="93"/>
              </w:rPr>
              <w:t>Quoted Prices in</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3"/>
              </w:rPr>
              <w:t>Significant</w:t>
            </w:r>
          </w:p>
        </w:tc>
        <w:tc>
          <w:tcPr>
            <w:tcW w:w="20" w:type="dxa"/>
            <w:vAlign w:val="bottom"/>
          </w:tcPr>
          <w:p>
            <w:pPr>
              <w:spacing w:after="0"/>
              <w:rPr>
                <w:sz w:val="17"/>
                <w:szCs w:val="17"/>
                <w:color w:val="auto"/>
              </w:rPr>
            </w:pPr>
          </w:p>
        </w:tc>
      </w:tr>
      <w:tr>
        <w:trPr>
          <w:trHeight w:val="216"/>
        </w:trPr>
        <w:tc>
          <w:tcPr>
            <w:tcW w:w="6320" w:type="dxa"/>
            <w:vAlign w:val="bottom"/>
          </w:tcPr>
          <w:p>
            <w:pPr>
              <w:spacing w:after="0"/>
              <w:rPr>
                <w:sz w:val="18"/>
                <w:szCs w:val="18"/>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w w:val="99"/>
              </w:rPr>
              <w:t>Active Markets for</w:t>
            </w: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Unobservable</w:t>
            </w:r>
          </w:p>
        </w:tc>
      </w:tr>
      <w:tr>
        <w:trPr>
          <w:trHeight w:val="216"/>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Identical Assets</w:t>
            </w:r>
          </w:p>
        </w:tc>
        <w:tc>
          <w:tcPr>
            <w:tcW w:w="1500" w:type="dxa"/>
            <w:vAlign w:val="bottom"/>
            <w:gridSpan w:val="4"/>
          </w:tcPr>
          <w:p>
            <w:pPr>
              <w:ind w:left="100"/>
              <w:spacing w:after="0"/>
              <w:rPr>
                <w:sz w:val="20"/>
                <w:szCs w:val="20"/>
                <w:color w:val="auto"/>
              </w:rPr>
            </w:pPr>
            <w:r>
              <w:rPr>
                <w:rFonts w:ascii="Arial" w:cs="Arial" w:eastAsia="Arial" w:hAnsi="Arial"/>
                <w:sz w:val="18"/>
                <w:szCs w:val="18"/>
                <w:color w:val="auto"/>
                <w:w w:val="94"/>
              </w:rPr>
              <w:t>Observable 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Inputs</w:t>
            </w:r>
          </w:p>
        </w:tc>
      </w:tr>
      <w:tr>
        <w:trPr>
          <w:trHeight w:val="237"/>
        </w:trPr>
        <w:tc>
          <w:tcPr>
            <w:tcW w:w="6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26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(Level 3)</w:t>
            </w: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rPr>
              <w:t>Corporate debt securities</w:t>
            </w: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1,428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34,339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35,767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32" w:right="20" w:hanging="287"/>
        <w:spacing w:after="0" w:line="277" w:lineRule="auto"/>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or net realizable value with cost being determined by the first-in, first-out (“FIFO”)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Inventories consisted of the following (in thousands):</w:t>
      </w:r>
    </w:p>
    <w:p>
      <w:pPr>
        <w:spacing w:after="0" w:line="193" w:lineRule="exact"/>
        <w:rPr>
          <w:sz w:val="20"/>
          <w:szCs w:val="20"/>
          <w:color w:val="auto"/>
        </w:rPr>
      </w:pPr>
    </w:p>
    <w:tbl>
      <w:tblPr>
        <w:tblLayout w:type="fixed"/>
        <w:tblInd w:w="2292"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38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r>
      <w:tr>
        <w:trPr>
          <w:trHeight w:val="202"/>
        </w:trPr>
        <w:tc>
          <w:tcPr>
            <w:tcW w:w="3860" w:type="dxa"/>
            <w:vAlign w:val="bottom"/>
          </w:tcPr>
          <w:p>
            <w:pPr>
              <w:spacing w:after="0" w:line="201" w:lineRule="exact"/>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7"/>
                <w:szCs w:val="17"/>
                <w:color w:val="auto"/>
              </w:rPr>
            </w:pPr>
          </w:p>
        </w:tc>
        <w:tc>
          <w:tcPr>
            <w:tcW w:w="1140" w:type="dxa"/>
            <w:vAlign w:val="bottom"/>
            <w:tcBorders>
              <w:top w:val="single" w:sz="8" w:color="auto"/>
            </w:tcBorders>
          </w:tcPr>
          <w:p>
            <w:pPr>
              <w:jc w:val="right"/>
              <w:ind w:right="98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8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
        </w:trPr>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32" w:hanging="332"/>
        <w:spacing w:after="0" w:line="257" w:lineRule="auto"/>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is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21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Net income per share is calculated as follows (in thousands, except per share data):</w:t>
      </w:r>
    </w:p>
    <w:p>
      <w:pPr>
        <w:spacing w:after="0" w:line="248"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8"/>
              </w:rPr>
              <w:t>Three Months Ended</w:t>
            </w:r>
          </w:p>
        </w:tc>
      </w:tr>
      <w:tr>
        <w:trPr>
          <w:trHeight w:val="241"/>
        </w:trPr>
        <w:tc>
          <w:tcPr>
            <w:tcW w:w="5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19"/>
                <w:szCs w:val="19"/>
                <w:color w:val="auto"/>
              </w:rPr>
            </w:pPr>
          </w:p>
        </w:tc>
      </w:tr>
      <w:tr>
        <w:trPr>
          <w:trHeight w:val="432"/>
        </w:trPr>
        <w:tc>
          <w:tcPr>
            <w:tcW w:w="5800" w:type="dxa"/>
            <w:vAlign w:val="bottom"/>
          </w:tcPr>
          <w:p>
            <w:pPr>
              <w:spacing w:after="0"/>
              <w:rPr>
                <w:sz w:val="20"/>
                <w:szCs w:val="20"/>
                <w:color w:val="auto"/>
              </w:rPr>
            </w:pPr>
            <w:r>
              <w:rPr>
                <w:rFonts w:ascii="Arial" w:cs="Arial" w:eastAsia="Arial" w:hAnsi="Arial"/>
                <w:sz w:val="18"/>
                <w:szCs w:val="18"/>
                <w:color w:val="auto"/>
              </w:rPr>
              <w:t>Net income</w:t>
            </w:r>
          </w:p>
        </w:tc>
        <w:tc>
          <w:tcPr>
            <w:tcW w:w="2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r>
      <w:tr>
        <w:trPr>
          <w:trHeight w:val="418"/>
        </w:trPr>
        <w:tc>
          <w:tcPr>
            <w:tcW w:w="58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22,866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22,626</w:t>
            </w:r>
          </w:p>
        </w:tc>
      </w:tr>
      <w:tr>
        <w:trPr>
          <w:trHeight w:val="237"/>
        </w:trPr>
        <w:tc>
          <w:tcPr>
            <w:tcW w:w="5800" w:type="dxa"/>
            <w:vAlign w:val="bottom"/>
          </w:tcPr>
          <w:p>
            <w:pPr>
              <w:spacing w:after="0"/>
              <w:rPr>
                <w:sz w:val="20"/>
                <w:szCs w:val="20"/>
                <w:color w:val="auto"/>
              </w:rPr>
            </w:pPr>
            <w:r>
              <w:rPr>
                <w:rFonts w:ascii="Arial" w:cs="Arial" w:eastAsia="Arial" w:hAnsi="Arial"/>
                <w:sz w:val="18"/>
                <w:szCs w:val="18"/>
                <w:color w:val="auto"/>
              </w:rPr>
              <w:t>Additional dilutive common stock equivalents</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24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22,887</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22,699</w:t>
            </w:r>
          </w:p>
        </w:tc>
        <w:tc>
          <w:tcPr>
            <w:tcW w:w="20" w:type="dxa"/>
            <w:vAlign w:val="bottom"/>
          </w:tcPr>
          <w:p>
            <w:pPr>
              <w:spacing w:after="0"/>
              <w:rPr>
                <w:sz w:val="18"/>
                <w:szCs w:val="18"/>
                <w:color w:val="auto"/>
              </w:rPr>
            </w:pPr>
          </w:p>
        </w:tc>
      </w:tr>
      <w:tr>
        <w:trPr>
          <w:trHeight w:val="21"/>
        </w:trPr>
        <w:tc>
          <w:tcPr>
            <w:tcW w:w="5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580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2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r>
    </w:tbl>
    <w:p>
      <w:pPr>
        <w:spacing w:after="0" w:line="229" w:lineRule="exact"/>
        <w:rPr>
          <w:sz w:val="20"/>
          <w:szCs w:val="20"/>
          <w:color w:val="auto"/>
        </w:rPr>
      </w:pPr>
    </w:p>
    <w:p>
      <w:pPr>
        <w:jc w:val="both"/>
        <w:ind w:left="332"/>
        <w:spacing w:after="0" w:line="264" w:lineRule="auto"/>
        <w:rPr>
          <w:sz w:val="20"/>
          <w:szCs w:val="20"/>
          <w:color w:val="auto"/>
        </w:rPr>
      </w:pPr>
      <w:r>
        <w:rPr>
          <w:rFonts w:ascii="Arial" w:cs="Arial" w:eastAsia="Arial" w:hAnsi="Arial"/>
          <w:sz w:val="18"/>
          <w:szCs w:val="18"/>
          <w:color w:val="auto"/>
        </w:rPr>
        <w:t>For the three month periods ended March 31, 2015 and 2014, options to purchase 54,034 and 821,838 shares of common stock were outstanding, but were not included in the computation of diluted EPS because the options’ exercise prices were greater than the average market price of the common stock and thus would be anti-dilutive.</w:t>
      </w: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22" w:right="239" w:bottom="1440" w:gutter="0" w:footer="0" w:header="0"/>
        </w:sectPr>
      </w:pPr>
    </w:p>
    <w:bookmarkStart w:id="7" w:name="page8"/>
    <w:bookmarkEnd w:id="7"/>
    <w:p>
      <w:pPr>
        <w:ind w:left="340" w:right="6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comprehensive income (in thousands):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6"/>
              </w:rPr>
              <w:t>March 31,</w:t>
            </w: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5200" w:type="dxa"/>
            <w:vAlign w:val="bottom"/>
          </w:tcPr>
          <w:p>
            <w:pPr>
              <w:spacing w:after="0"/>
              <w:rPr>
                <w:sz w:val="20"/>
                <w:szCs w:val="20"/>
                <w:color w:val="auto"/>
              </w:rPr>
            </w:pPr>
            <w:r>
              <w:rPr>
                <w:rFonts w:ascii="Arial" w:cs="Arial" w:eastAsia="Arial" w:hAnsi="Arial"/>
                <w:sz w:val="18"/>
                <w:szCs w:val="18"/>
                <w:color w:val="auto"/>
              </w:rPr>
              <w:t>Cost of services</w:t>
            </w:r>
          </w:p>
        </w:tc>
        <w:tc>
          <w:tcPr>
            <w:tcW w:w="780" w:type="dxa"/>
            <w:vAlign w:val="bottom"/>
            <w:gridSpan w:val="2"/>
          </w:tcPr>
          <w:p>
            <w:pPr>
              <w:jc w:val="right"/>
              <w:ind w:right="623"/>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General and administrative operations</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Stock Option Grants</w:t>
      </w:r>
      <w:r>
        <w:rPr>
          <w:rFonts w:ascii="Arial" w:cs="Arial" w:eastAsia="Arial" w:hAnsi="Arial"/>
          <w:sz w:val="18"/>
          <w:szCs w:val="18"/>
          <w:color w:val="auto"/>
        </w:rPr>
        <w:t>. We may grant stock options under our 2001 Nonqualified Stock Plan although we have not granted any stock options since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2012. When we grant stock options, we estimate their fair value using the Black-Scholes valuation model.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Estimates of fair value are not intended to predict actual future events or the value ultimately realized by persons who receive equity awards.</w:t>
      </w:r>
    </w:p>
    <w:p>
      <w:pPr>
        <w:spacing w:after="0" w:line="2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We also grant unrestricted shares of stock under our 2001 Nonqualified Stock Plan. Stock-based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grants is determined based on the fair market value of our stock on the date of grant, provided the number of shares in the grant is fixed on the grant date.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granted shares of unrestricted stock in 2015 and 2014 that affected financial results for the three month periods ended March 31, 2015 and 2014.</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grants are described below.</w:t>
      </w:r>
    </w:p>
    <w:p>
      <w:pPr>
        <w:spacing w:after="0" w:line="238"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i w:val="1"/>
          <w:iCs w:val="1"/>
          <w:color w:val="auto"/>
        </w:rPr>
        <w:t xml:space="preserve">2015 Grant. </w:t>
      </w:r>
      <w:r>
        <w:rPr>
          <w:rFonts w:ascii="Arial" w:cs="Arial" w:eastAsia="Arial" w:hAnsi="Arial"/>
          <w:sz w:val="16"/>
          <w:szCs w:val="16"/>
          <w:color w:val="auto"/>
        </w:rPr>
        <w:t>On March 26, 2015, we granted 152,000 shares of unrestricted stock to directors, officers and employees. The shares will be issued in two</w:t>
      </w:r>
      <w:r>
        <w:rPr>
          <w:rFonts w:ascii="Arial" w:cs="Arial" w:eastAsia="Arial" w:hAnsi="Arial"/>
          <w:sz w:val="16"/>
          <w:szCs w:val="16"/>
          <w:i w:val="1"/>
          <w:iCs w:val="1"/>
          <w:color w:val="auto"/>
        </w:rPr>
        <w:t xml:space="preserve"> </w:t>
      </w:r>
      <w:r>
        <w:rPr>
          <w:rFonts w:ascii="Arial" w:cs="Arial" w:eastAsia="Arial" w:hAnsi="Arial"/>
          <w:sz w:val="16"/>
          <w:szCs w:val="16"/>
          <w:color w:val="auto"/>
        </w:rPr>
        <w:t>equal installments shortly after June 30, 2015 and December 31, 2015, provided each grantee is serving as a director, officer or employee on those dates. The total stock-based compensation expense related to this grant is $682,000, of which $15,000 was charged to expense in the three months ended March 31, 2015 and we anticipate the remaining $667,000 will be charged to expense ratably over the remaining three quarters of 2015.</w:t>
      </w:r>
    </w:p>
    <w:p>
      <w:pPr>
        <w:spacing w:after="0" w:line="181" w:lineRule="exact"/>
        <w:rPr>
          <w:sz w:val="20"/>
          <w:szCs w:val="20"/>
          <w:color w:val="auto"/>
        </w:rPr>
      </w:pPr>
    </w:p>
    <w:p>
      <w:pPr>
        <w:jc w:val="both"/>
        <w:ind w:left="500"/>
        <w:spacing w:after="0" w:line="297" w:lineRule="auto"/>
        <w:rPr>
          <w:sz w:val="20"/>
          <w:szCs w:val="20"/>
          <w:color w:val="auto"/>
        </w:rPr>
      </w:pPr>
      <w:r>
        <w:rPr>
          <w:rFonts w:ascii="Arial" w:cs="Arial" w:eastAsia="Arial" w:hAnsi="Arial"/>
          <w:sz w:val="16"/>
          <w:szCs w:val="16"/>
          <w:i w:val="1"/>
          <w:iCs w:val="1"/>
          <w:color w:val="auto"/>
        </w:rPr>
        <w:t>2014 Grant</w:t>
      </w:r>
      <w:r>
        <w:rPr>
          <w:rFonts w:ascii="Arial" w:cs="Arial" w:eastAsia="Arial" w:hAnsi="Arial"/>
          <w:sz w:val="16"/>
          <w:szCs w:val="16"/>
          <w:color w:val="auto"/>
        </w:rPr>
        <w:t>. In March 2014, we granted 152,000 shares of unrestricted stock to directors, officers and employees. The shares were issued in two equal</w:t>
      </w:r>
      <w:r>
        <w:rPr>
          <w:rFonts w:ascii="Arial" w:cs="Arial" w:eastAsia="Arial" w:hAnsi="Arial"/>
          <w:sz w:val="16"/>
          <w:szCs w:val="16"/>
          <w:i w:val="1"/>
          <w:iCs w:val="1"/>
          <w:color w:val="auto"/>
        </w:rPr>
        <w:t xml:space="preserve"> </w:t>
      </w:r>
      <w:r>
        <w:rPr>
          <w:rFonts w:ascii="Arial" w:cs="Arial" w:eastAsia="Arial" w:hAnsi="Arial"/>
          <w:sz w:val="16"/>
          <w:szCs w:val="16"/>
          <w:color w:val="auto"/>
        </w:rPr>
        <w:t>installments shortly after June 30, 2014 and December 31, 2014. We expensed the entire $876,000 stock-based compensation expense related to this grant in 2014. We issued shares of common stock related to this grant as follows: i) 58,769 net shares of common stock were issued in early July 2014 after employees surrendered 17,231 shares for which we paid $113,000 of withholding taxes on their behalf; and ii) 56,804 net shares of common stock were issued in early January 2015 after employees surrendered 19,196 shares for which we paid $87,000 of withholding taxes on their behalf.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 w:name="page9"/>
    <w:bookmarkEnd w:id="8"/>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Business Segments</w:t>
      </w:r>
      <w:r>
        <w:rPr>
          <w:rFonts w:ascii="Arial" w:cs="Arial" w:eastAsia="Arial" w:hAnsi="Arial"/>
          <w:sz w:val="18"/>
          <w:szCs w:val="18"/>
          <w:color w:val="auto"/>
        </w:rPr>
        <w:t>. We organize ourselves into a single segment that reports to the chief operating decision makers.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We conduct our operations in the United States and sell our products and services to domestic and international customers. Revenues were generated from the following geographic regions for the three months ended March 31, 2015 and 2014 (in thousands):</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20" w:type="dxa"/>
            <w:vAlign w:val="bottom"/>
          </w:tcPr>
          <w:p>
            <w:pPr>
              <w:spacing w:after="0"/>
              <w:rPr>
                <w:sz w:val="19"/>
                <w:szCs w:val="19"/>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United States</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2,488</w:t>
            </w:r>
          </w:p>
        </w:tc>
        <w:tc>
          <w:tcPr>
            <w:tcW w:w="18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5,496</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Rest of world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1,082</w:t>
            </w:r>
          </w:p>
        </w:tc>
      </w:tr>
      <w:tr>
        <w:trPr>
          <w:trHeight w:val="216"/>
        </w:trPr>
        <w:tc>
          <w:tcPr>
            <w:tcW w:w="50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6,617</w:t>
            </w:r>
          </w:p>
        </w:tc>
        <w:tc>
          <w:tcPr>
            <w:tcW w:w="20" w:type="dxa"/>
            <w:vAlign w:val="bottom"/>
          </w:tcPr>
          <w:p>
            <w:pPr>
              <w:spacing w:after="0"/>
              <w:rPr>
                <w:sz w:val="18"/>
                <w:szCs w:val="18"/>
                <w:color w:val="auto"/>
              </w:rPr>
            </w:pPr>
          </w:p>
        </w:tc>
      </w:tr>
      <w:tr>
        <w:trPr>
          <w:trHeight w:val="21"/>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product group for the three months ended March 31, 2015 and 2014 was (in thousands):</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20" w:type="dxa"/>
            <w:vAlign w:val="bottom"/>
          </w:tcPr>
          <w:p>
            <w:pPr>
              <w:spacing w:after="0"/>
              <w:rPr>
                <w:sz w:val="19"/>
                <w:szCs w:val="19"/>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Biometrics</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3,849</w:t>
            </w:r>
          </w:p>
        </w:tc>
        <w:tc>
          <w:tcPr>
            <w:tcW w:w="18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6,181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Imaging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DSL royalties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r>
      <w:tr>
        <w:trPr>
          <w:trHeight w:val="216"/>
        </w:trPr>
        <w:tc>
          <w:tcPr>
            <w:tcW w:w="50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6,617</w:t>
            </w:r>
          </w:p>
        </w:tc>
        <w:tc>
          <w:tcPr>
            <w:tcW w:w="20" w:type="dxa"/>
            <w:vAlign w:val="bottom"/>
          </w:tcPr>
          <w:p>
            <w:pPr>
              <w:spacing w:after="0"/>
              <w:rPr>
                <w:sz w:val="18"/>
                <w:szCs w:val="18"/>
                <w:color w:val="auto"/>
              </w:rPr>
            </w:pPr>
          </w:p>
        </w:tc>
      </w:tr>
      <w:tr>
        <w:trPr>
          <w:trHeight w:val="21"/>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69"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color w:val="auto"/>
        </w:rPr>
        <w:t>In May 2014, the FASB issued ASU 2014-09, Revenue from Contracts with Customers (Topic 606). The ASU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result of a joint project by the FASB and the International Accounting Standards Board (“IASB”) to clarify the principles for recognizing revenue and to develop a common revenue standard for GAAP and International Financial Reporting Standards (“IFRS”) that would: remove inconsistencies and weaknesses, provide a more robust framework for addressing revenue issues, improve comparability of revenue recognition practices across entities, jurisdictions, industries, and capital markets, improve disclosure requirements and resulting financial statements, and simplify the presentation of financial statements.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ASU is effective for annual reporting periods beginning after December 15, 2016. Early adoption is not permitted. On April 1, 2015, the FASB voted to propose a deferral of the effective date of the new revenue standard by one year, but to permit entities to adopt one year earlier if they choose (i.e., the original effective date). We are currently evaluating the effect that the updated standard will have on our consolidated financial statements and related disclosures.</w:t>
      </w:r>
    </w:p>
    <w:p>
      <w:pPr>
        <w:spacing w:after="0" w:line="209" w:lineRule="exact"/>
        <w:rPr>
          <w:rFonts w:ascii="Arial" w:cs="Arial" w:eastAsia="Arial" w:hAnsi="Arial"/>
          <w:sz w:val="17"/>
          <w:szCs w:val="17"/>
          <w:color w:val="auto"/>
        </w:rPr>
      </w:pPr>
    </w:p>
    <w:p>
      <w:pPr>
        <w:ind w:left="340" w:right="20"/>
        <w:spacing w:after="0" w:line="277" w:lineRule="auto"/>
        <w:rPr>
          <w:rFonts w:ascii="Arial" w:cs="Arial" w:eastAsia="Arial" w:hAnsi="Arial"/>
          <w:sz w:val="17"/>
          <w:szCs w:val="17"/>
          <w:color w:val="auto"/>
        </w:rPr>
      </w:pPr>
      <w:r>
        <w:rPr>
          <w:rFonts w:ascii="Arial" w:cs="Arial" w:eastAsia="Arial" w:hAnsi="Arial"/>
          <w:sz w:val="18"/>
          <w:szCs w:val="18"/>
          <w:color w:val="auto"/>
        </w:rPr>
        <w:t>With the exception of the new revenue standard discussed above, there have been no other recently issued accounting pronouncements that are of significance or potential significance to us that we have not adopted as of March 31, 2015.</w:t>
      </w:r>
    </w:p>
    <w:p>
      <w:pPr>
        <w:spacing w:after="0" w:line="193" w:lineRule="exact"/>
        <w:rPr>
          <w:rFonts w:ascii="Arial" w:cs="Arial" w:eastAsia="Arial" w:hAnsi="Arial"/>
          <w:sz w:val="17"/>
          <w:szCs w:val="17"/>
          <w:color w:val="auto"/>
        </w:rPr>
      </w:pPr>
    </w:p>
    <w:p>
      <w:pPr>
        <w:ind w:left="340" w:hanging="332"/>
        <w:spacing w:after="0" w:line="313"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tax expense was $0.2 million and $0.5 million for the three months ended March 31, 2015 and 2014, respectively.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in the three month periods of 2015 and 2014 was based on the U.S. statutory rate of 34%, increased by state income taxes.</w:t>
      </w:r>
    </w:p>
    <w:p>
      <w:pPr>
        <w:spacing w:after="0" w:line="169" w:lineRule="exact"/>
        <w:rPr>
          <w:rFonts w:ascii="Arial" w:cs="Arial" w:eastAsia="Arial" w:hAnsi="Arial"/>
          <w:sz w:val="17"/>
          <w:szCs w:val="17"/>
          <w:color w:val="auto"/>
        </w:rPr>
      </w:pPr>
    </w:p>
    <w:p>
      <w:pPr>
        <w:jc w:val="both"/>
        <w:ind w:left="340"/>
        <w:spacing w:after="0" w:line="257" w:lineRule="auto"/>
        <w:rPr>
          <w:rFonts w:ascii="Arial" w:cs="Arial" w:eastAsia="Arial" w:hAnsi="Arial"/>
          <w:sz w:val="17"/>
          <w:szCs w:val="17"/>
          <w:color w:val="auto"/>
        </w:rPr>
      </w:pPr>
      <w:r>
        <w:rPr>
          <w:rFonts w:ascii="Arial" w:cs="Arial" w:eastAsia="Arial" w:hAnsi="Arial"/>
          <w:sz w:val="18"/>
          <w:szCs w:val="18"/>
          <w:color w:val="auto"/>
        </w:rPr>
        <w:t>In the three month period ended March 31, 2015,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The tax benefits from such stock-based awards were $0.6 million in the three month period ended March 31, 2015. These tax benefits were recorded as an equity adjustment to additional paid-in capital.</w:t>
      </w:r>
    </w:p>
    <w:p>
      <w:pPr>
        <w:spacing w:after="0" w:line="215"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As of March 31, 2015, we had a total of $0.8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9" w:name="page10"/>
    <w:bookmarkEnd w:id="9"/>
    <w:p>
      <w:pPr>
        <w:jc w:val="both"/>
        <w:ind w:left="340"/>
        <w:spacing w:after="0" w:line="255" w:lineRule="auto"/>
        <w:rPr>
          <w:sz w:val="20"/>
          <w:szCs w:val="20"/>
          <w:color w:val="auto"/>
        </w:rPr>
      </w:pPr>
      <w:r>
        <w:rPr>
          <w:rFonts w:ascii="Arial" w:cs="Arial" w:eastAsia="Arial" w:hAnsi="Arial"/>
          <w:sz w:val="18"/>
          <w:szCs w:val="18"/>
          <w:color w:val="auto"/>
        </w:rPr>
        <w:t>In addition to deferred tax assets carried on our balance sheet, we also had net federal and state research and development credit carryforwards available at December 31, 2014 of $4.0 million and $0.3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$0.6 million equity adjustment to additional paid-in capital in the three month period ended March 31, 2015 was related to these deferred tax assets.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Internal Revenue Service commenced an examination of our tax return for the year ended December 31, 2012 in September 2014.</w:t>
      </w:r>
    </w:p>
    <w:p>
      <w:pPr>
        <w:spacing w:after="0" w:line="252"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Accumulated Other Comprehensive Loss. </w:t>
      </w:r>
      <w:r>
        <w:rPr>
          <w:rFonts w:ascii="Arial" w:cs="Arial" w:eastAsia="Arial" w:hAnsi="Arial"/>
          <w:sz w:val="16"/>
          <w:szCs w:val="16"/>
          <w:color w:val="auto"/>
        </w:rPr>
        <w:t>The components of accumulated other comprehensive loss and activity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w w:val="93"/>
              </w:rPr>
              <w:t>December 31,</w:t>
            </w:r>
          </w:p>
        </w:tc>
        <w:tc>
          <w:tcPr>
            <w:tcW w:w="20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w w:val="89"/>
              </w:rPr>
              <w:t>Increase/</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w w:val="97"/>
              </w:rPr>
              <w:t>Reclassification</w:t>
            </w:r>
          </w:p>
        </w:tc>
        <w:tc>
          <w:tcPr>
            <w:tcW w:w="5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March 31,</w:t>
            </w:r>
          </w:p>
        </w:tc>
      </w:tr>
      <w:tr>
        <w:trPr>
          <w:trHeight w:val="264"/>
        </w:trPr>
        <w:tc>
          <w:tcPr>
            <w:tcW w:w="5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6"/>
              </w:rPr>
              <w:t>Decrease</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Adjustments</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2"/>
                <w:szCs w:val="22"/>
                <w:color w:val="auto"/>
              </w:rPr>
            </w:pPr>
          </w:p>
        </w:tc>
      </w:tr>
      <w:tr>
        <w:trPr>
          <w:trHeight w:val="418"/>
        </w:trPr>
        <w:tc>
          <w:tcPr>
            <w:tcW w:w="5780" w:type="dxa"/>
            <w:vAlign w:val="bottom"/>
          </w:tcPr>
          <w:p>
            <w:pPr>
              <w:spacing w:after="0"/>
              <w:rPr>
                <w:sz w:val="20"/>
                <w:szCs w:val="20"/>
                <w:color w:val="auto"/>
              </w:rPr>
            </w:pPr>
            <w:r>
              <w:rPr>
                <w:rFonts w:ascii="Arial" w:cs="Arial" w:eastAsia="Arial" w:hAnsi="Arial"/>
                <w:sz w:val="18"/>
                <w:szCs w:val="18"/>
                <w:color w:val="auto"/>
              </w:rPr>
              <w:t>Unrealized losses on available for sale securities</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Unrealized gains on available for sale securities</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0"/>
                <w:szCs w:val="20"/>
                <w:color w:val="auto"/>
              </w:rPr>
            </w:pPr>
          </w:p>
        </w:tc>
      </w:tr>
      <w:tr>
        <w:trPr>
          <w:trHeight w:val="202"/>
        </w:trPr>
        <w:tc>
          <w:tcPr>
            <w:tcW w:w="5780" w:type="dxa"/>
            <w:vAlign w:val="bottom"/>
          </w:tcPr>
          <w:p>
            <w:pPr>
              <w:ind w:left="140"/>
              <w:spacing w:after="0" w:line="201" w:lineRule="exact"/>
              <w:rPr>
                <w:sz w:val="20"/>
                <w:szCs w:val="20"/>
                <w:color w:val="auto"/>
              </w:rPr>
            </w:pPr>
            <w:r>
              <w:rPr>
                <w:rFonts w:ascii="Arial" w:cs="Arial" w:eastAsia="Arial" w:hAnsi="Arial"/>
                <w:sz w:val="18"/>
                <w:szCs w:val="18"/>
                <w:color w:val="auto"/>
              </w:rPr>
              <w:t>Net unrealized gains (losses) on available for sale securities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11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12</w:t>
            </w:r>
          </w:p>
        </w:tc>
        <w:tc>
          <w:tcPr>
            <w:tcW w:w="560" w:type="dxa"/>
            <w:vAlign w:val="bottom"/>
          </w:tcPr>
          <w:p>
            <w:pPr>
              <w:jc w:val="right"/>
              <w:ind w:right="250"/>
              <w:spacing w:after="0" w:line="201" w:lineRule="exact"/>
              <w:rPr>
                <w:sz w:val="20"/>
                <w:szCs w:val="20"/>
                <w:color w:val="auto"/>
              </w:rPr>
            </w:pPr>
            <w:r>
              <w:rPr>
                <w:rFonts w:ascii="Arial" w:cs="Arial" w:eastAsia="Arial" w:hAnsi="Arial"/>
                <w:sz w:val="18"/>
                <w:szCs w:val="18"/>
                <w:color w:val="auto"/>
                <w:w w:val="90"/>
              </w:rPr>
              <w:t>(a)</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Income tax benefit (expense) on other comprehensive loss</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r>
      <w:tr>
        <w:trPr>
          <w:trHeight w:val="216"/>
        </w:trPr>
        <w:tc>
          <w:tcPr>
            <w:tcW w:w="5780" w:type="dxa"/>
            <w:vAlign w:val="bottom"/>
          </w:tcPr>
          <w:p>
            <w:pPr>
              <w:ind w:left="140"/>
              <w:spacing w:after="0"/>
              <w:rPr>
                <w:sz w:val="20"/>
                <w:szCs w:val="20"/>
                <w:color w:val="auto"/>
              </w:rPr>
            </w:pPr>
            <w:r>
              <w:rPr>
                <w:rFonts w:ascii="Arial" w:cs="Arial" w:eastAsia="Arial" w:hAnsi="Arial"/>
                <w:sz w:val="18"/>
                <w:szCs w:val="18"/>
                <w:color w:val="auto"/>
              </w:rPr>
              <w:t>Total accumulated other comprehensive loss, net of taxes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Classified in other income.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2014,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Operations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primarily engaged in the development and sale of biometrics products and services. Our software products are used in government and commercial biometrics systems to identify or authenticate people. Principal government applications of biometrics systems include border control, law enforcement, national defense, secure credentialing, access control, and background checks. Principal commercial applications include: i) user authentication for login and access to mobile devices, computers, networks, and software programs; ii) user authentication for financial transactions and purchases (online and in-person);</w:t>
      </w:r>
    </w:p>
    <w:p>
      <w:pPr>
        <w:spacing w:after="0" w:line="2" w:lineRule="exact"/>
        <w:rPr>
          <w:sz w:val="20"/>
          <w:szCs w:val="20"/>
          <w:color w:val="auto"/>
        </w:rPr>
      </w:pPr>
    </w:p>
    <w:p>
      <w:pPr>
        <w:jc w:val="both"/>
        <w:ind w:firstLine="8"/>
        <w:spacing w:after="0" w:line="255"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physical access control to buildings, and iv) screening and background checks of prospective employees and customers. We sell our software and services globally through systems integrators and OEMs, and directly to end user customers. We also derive a minor portion of our revenue from the sale of imaging software to OEMs that incorporate that software into medical imaging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and net income for the three months ended March 31, 2015 were $4.1 million and $0.3 million, respectively. These results compared to revenue of $6.6 million and net income of $0.9 million in the three months ended March 31, 2014. Lower revenue and net income in the current quarter were primarily due to:</w:t>
      </w:r>
    </w:p>
    <w:p>
      <w:pPr>
        <w:spacing w:after="0" w:line="208"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hardware sales from $2.6 million in the year ago quarter to zero in the current quarter; and</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DSL royalties from $0.3 million in the year ago quarter to $0.1 million in the current quarter.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These and all other financial results are discussed in more detail in the results of operations section that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 xml:space="preserve">Software licenses. </w:t>
      </w:r>
      <w:r>
        <w:rPr>
          <w:rFonts w:ascii="Arial" w:cs="Arial" w:eastAsia="Arial" w:hAnsi="Arial"/>
          <w:sz w:val="16"/>
          <w:szCs w:val="16"/>
          <w:color w:val="auto"/>
        </w:rPr>
        <w:t>Software licenses consist of revenue from the sale of biometrics and imaging software products. Sales of software products depend on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win proposals to supply software for biometrics systems projects either directly to end user customers or indirectly through channel partners.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 w:name="page12"/>
    <w:bookmarkEnd w:id="11"/>
    <w:p>
      <w:pPr>
        <w:jc w:val="both"/>
        <w:spacing w:after="0" w:line="302" w:lineRule="auto"/>
        <w:rPr>
          <w:sz w:val="20"/>
          <w:szCs w:val="20"/>
          <w:color w:val="auto"/>
        </w:rPr>
      </w:pPr>
      <w:r>
        <w:rPr>
          <w:rFonts w:ascii="Arial" w:cs="Arial" w:eastAsia="Arial" w:hAnsi="Arial"/>
          <w:sz w:val="16"/>
          <w:szCs w:val="16"/>
          <w:color w:val="auto"/>
        </w:rPr>
        <w:t>Software license revenue increased 2% from $1.62 million in the three months ended March 31, 2014 to $1.65 million in the same three month period in 2015. As a percentage of total revenue, software license revenue increased from 24% in the first quarter of 2014 to 40% in the current year quarter. The dollar increase in software license revenue primarily reflects an increase in software license revenue from two customers that are developing commercial biometric systems. Higher revenue from commercial customers was mostly offset by lower sales of software licenses to government customers.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described in the strategy section of our Form 10-K for the year ended December 31, 2014, our market strategy is to continue to focus on our legacy government biometrics markets and expand into new commercial biometrics markets. While we derived a meaningful amount of license and services revenue from commercial customers in the current quarter, we are unable to predict future revenue from commercial markets as these are emerging markets.</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Software maintenance</w:t>
      </w:r>
      <w:r>
        <w:rPr>
          <w:rFonts w:ascii="Arial" w:cs="Arial" w:eastAsia="Arial" w:hAnsi="Arial"/>
          <w:sz w:val="17"/>
          <w:szCs w:val="17"/>
          <w:color w:val="auto"/>
        </w:rPr>
        <w:t>. Software maintenance consists of revenue from the sale of software maintenance contracts. Software maintenance contracts entitle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to receive software support and software updates, if and when they become available, during the term of the contract.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Software maintenance revenue increased 10% from $1.05 million in the three months ended March 31, 2014 to $1.15 million in the same three month period in 2015. As a percentage of total revenue, software maintenance revenue increased from 16% in the first quarter of 2014 to 28% in the current year quarter. The dollar increase in software maintenance revenue was primarily due to a base of maintenance revenue from contract renewals from prior periods that grows as we sell maintenance contracts with new licenses in current periods.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Services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consist of fees we charge to perform software development, integration, installation, and customization services. Similar to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license revenue, services revenue depends on our ability to win biometrics systems projects either directly with end user customers or in conjunction with channel partners. Services revenue will fluctuate when we commence new projects and/or when we complete projects that were started in previous periods.</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Services increased 21% from $1.0 million in the three months ended March 31, 2014 to $1.2 million in the same three month period in 2015. As a percentage of total revenue, services increased from 15% in the first quarter of 2014 to 30% in the current year quarter. The dollar increase in services was primarily due to projects with two customers that are developing biometrics systems for commercial applications that we mentioned in the software license section above.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derived a significant amount of services revenue in the first quarter of 2015 from a project with a U.S. government customer. This project, which has contributed significantly to quarterly services revenue since its commencement in 2013, is currently scheduled to end in April 2015. Services revenue in future periods may decline unless we can replace the loss of revenue from this project with services revenue from other government and commercial customers.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Hardware. </w:t>
      </w:r>
      <w:r>
        <w:rPr>
          <w:rFonts w:ascii="Arial" w:cs="Arial" w:eastAsia="Arial" w:hAnsi="Arial"/>
          <w:sz w:val="17"/>
          <w:szCs w:val="17"/>
          <w:color w:val="auto"/>
        </w:rPr>
        <w:t>Hardware revenue consists of sales of biometrics equipment to a single U.S. government customer for whom we developed biometrics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Hardware products sold to this customer integrate hardware purchased from third parties with software from other third parties as well as software from Aware. We evaluated the classification of gross versus net revenue recognition and determined gross recognition was appropriate.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revenue decreased 100% from $2.6 million in the three months ended March 31, 2014 to zero in the same three month period in 2015. As a percentage of total revenue, hardware revenue decreased from 40% in the first quarter of 2014 to 0% in the current year quarter. The dollar decrease in hardware revenue was due to the fact that we delivered no hardware to our government customer in the current quarter.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In early April 2015, we received a $1.1 million hardware order that we expect to deliver in the third quarter of 2015. Notwithstanding this order, future orders from this customer may be minimal as we believe it has completed the bulk of its purchasing. Despite this expectation, we are unable to predict future hardware sales with any degree of certainty because forecasting our customer’s demand is difficult. If we are unable to replace the lost gross profit on hardware revenue with sales of other products and services in future periods, our operating results may be adversely affected. It is worth noting that our strategy does not include maintaining or growing biometrics hardware revenue. We agreed to provide hardware products as an accommodation to an important customer.</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Royalties consist primarily of royalty payments we receive under DSL silicon contracts with two customers that incorporate our silicon intellectual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(“IP”) in their DSL chipsets. We sold our DSL IP business in 2009, but we continue to receive royalty payments from these customers. Royalties are reported in continuing operations in accordance with ASC 205-20, Reporting Discontinued Operations, because we have continuing ongoing cash flows from this business.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Royalties decreased 68% from $314,000 in the three months ended March 31, 2014 to $101,000 in the same three month period in 2015. As a percentage of total revenue, royalties decreased from 5% in the first quarter of 2014 to 2% in the current year quarter. We do not consider DSL royalties to be a key element of our strategy and we expect that this revenue will continue to decline in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Cost of hardware. </w:t>
      </w:r>
      <w:r>
        <w:rPr>
          <w:rFonts w:ascii="Arial" w:cs="Arial" w:eastAsia="Arial" w:hAnsi="Arial"/>
          <w:sz w:val="18"/>
          <w:szCs w:val="18"/>
          <w:color w:val="auto"/>
        </w:rPr>
        <w:t>Cost of hardware consists primarily of the cost of third party equipment and software included in hardware shipments.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 of hardware decreased from $1.9 million in the three months ended March 31, 2014 to zero in the same three month period in 2015. Cost of hardware as a percentage of hardware sales was 72% in the prior year quarter, which means that product gross margins were 28% in the first quarter of 2014. The dollar decrease in cost of hardware was because we delivered no hardware products in the current year period compared to $2.6 million in the prior year period.</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consists of engineering costs to perform customer services projects. Such costs primarily include: i) engineering salaries,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fringe benefits, and facilities; and ii) engineering consultants and contractors.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 of services increased 18% from $463,000 in the three months ended March 31, 2014 to $547,000 in the same three month period in 2015. Cost of services as a percentage of services decreased from 46% in the first quarter of 2014 to 45% in the current quarter, which means that gross margins on services increased from 54% to 55%. The 18% increase in cost of services in the first quarter of 2015 was mainly attributable to a 21% increase in services revenue.</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expense consists of costs for: i) engineering personnel, including salaries,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total engineering costs to research and development expense and cost of services was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5"/>
          </w:tcPr>
          <w:p>
            <w:pPr>
              <w:jc w:val="right"/>
              <w:ind w:right="39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5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354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2014</w:t>
            </w:r>
          </w:p>
        </w:tc>
        <w:tc>
          <w:tcPr>
            <w:tcW w:w="3540" w:type="dxa"/>
            <w:vAlign w:val="bottom"/>
          </w:tcPr>
          <w:p>
            <w:pPr>
              <w:spacing w:after="0"/>
              <w:rPr>
                <w:sz w:val="19"/>
                <w:szCs w:val="19"/>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1,435</w:t>
            </w:r>
          </w:p>
        </w:tc>
        <w:tc>
          <w:tcPr>
            <w:tcW w:w="200" w:type="dxa"/>
            <w:vAlign w:val="bottom"/>
          </w:tcPr>
          <w:p>
            <w:pPr>
              <w:spacing w:after="0"/>
              <w:rPr>
                <w:sz w:val="24"/>
                <w:szCs w:val="24"/>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4360" w:type="dxa"/>
            <w:vAlign w:val="bottom"/>
            <w:gridSpan w:val="2"/>
          </w:tcPr>
          <w:p>
            <w:pPr>
              <w:jc w:val="right"/>
              <w:ind w:right="3540"/>
              <w:spacing w:after="0"/>
              <w:rPr>
                <w:sz w:val="20"/>
                <w:szCs w:val="20"/>
                <w:color w:val="auto"/>
              </w:rPr>
            </w:pPr>
            <w:r>
              <w:rPr>
                <w:rFonts w:ascii="Arial" w:cs="Arial" w:eastAsia="Arial" w:hAnsi="Arial"/>
                <w:sz w:val="18"/>
                <w:szCs w:val="18"/>
                <w:color w:val="auto"/>
              </w:rPr>
              <w:t>1,279</w:t>
            </w: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Cost of services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60" w:type="dxa"/>
            <w:vAlign w:val="bottom"/>
            <w:gridSpan w:val="2"/>
          </w:tcPr>
          <w:p>
            <w:pPr>
              <w:jc w:val="right"/>
              <w:ind w:right="3540"/>
              <w:spacing w:after="0"/>
              <w:rPr>
                <w:sz w:val="20"/>
                <w:szCs w:val="20"/>
                <w:color w:val="auto"/>
              </w:rPr>
            </w:pPr>
            <w:r>
              <w:rPr>
                <w:rFonts w:ascii="Arial" w:cs="Arial" w:eastAsia="Arial" w:hAnsi="Arial"/>
                <w:sz w:val="18"/>
                <w:szCs w:val="18"/>
                <w:color w:val="auto"/>
              </w:rPr>
              <w:t>463</w:t>
            </w: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Total engineering costs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3540" w:type="dxa"/>
            <w:vAlign w:val="bottom"/>
          </w:tcPr>
          <w:p>
            <w:pPr>
              <w:spacing w:after="0"/>
              <w:rPr>
                <w:sz w:val="18"/>
                <w:szCs w:val="18"/>
                <w:color w:val="auto"/>
              </w:rPr>
            </w:pPr>
          </w:p>
        </w:tc>
      </w:tr>
      <w:tr>
        <w:trPr>
          <w:trHeight w:val="21"/>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669"/>
        </w:trPr>
        <w:tc>
          <w:tcPr>
            <w:tcW w:w="536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jc w:val="right"/>
              <w:ind w:right="61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35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Research and development expense increased 12% from $1.3 million in the three months ended March 31, 2014 to $1.4 million in the same three month period in 2015. As a percentage of total revenue, research and development expense increased from 19% in the first quarter of 2014 to 35% in the current year quarter.</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table immediately above indicates, total engineering costs in the first quarter of 2015 increased by $240,000 compared to the same period last year. The spending increase was primarily due to headcount additions in our engineering organization over the past year. The growth in our engineering organization was designed to provide the resources we require: i) to pursue new product development initiatives; and ii) to staff customer engineering services projects.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in the strategy section of our Form 10-K for the year ended December 31, 2014, we intend to offer more complete biometrics solutions by expanding our product portfolio. We believe this will allow us to sell more software and services into biometrics projects. Our preference is to develop such products internally, however to the extent we are unable to do that, we may purchase or license technologies from third parties.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Engineering spending in the first quarter of 2015 is a reflection of this strategy. We anticipate that we will continue to focus our future research and development activities on enhancing our existing products and developing new products.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and marketing expense increased 13% from $0.9 million in the three months ended March 31, 2014 to $1.0 million in the same three month period in 2015. As a percentage of total revenue, selling and marketing expense increased from 13% in the first quarter of 2014 to 24% in the current year quarter. The dollar increase in selling and marketing expense was primarily due to the addition of two employees in our sales organization over the past year and higher sales commissions to one of our foreign sales agents.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 was essentially unchanged at $0.8 million in the three month periods ended March 31, 2014 and 2015. As a percentage of total revenue, general and administrative expense increased from 12% in the first quarter of 2014 to 19% in the current year quarter. Unchanged general and administrative expense reflects a stable administrative organization and similar levels of professional fees and director and officer stock-based compensation in both periods.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Stock-based compensation expense included in general and administrative expense for the remaining three quarters of 2015 will increase over the first quarter of 2015 by approximately $160,000 per quarter. The increase is the result of an unrestricted stock award to directors and officers that the Compensation Committee authorized on March 26, 2015.</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Other income</w:t>
      </w:r>
      <w:r>
        <w:rPr>
          <w:rFonts w:ascii="Arial" w:cs="Arial" w:eastAsia="Arial" w:hAnsi="Arial"/>
          <w:sz w:val="18"/>
          <w:szCs w:val="18"/>
          <w:color w:val="auto"/>
        </w:rPr>
        <w:t>. We recorded $12,000 of other income in the three months ended March 31, 2015. This amount represented a realized gain on one of our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bonds.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decreased 53% from $86,000 in three months ended March 31, 2014 to $41,000 in the same three month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The dollar decrease in interest income was primarily due to two factors: i) lower levels of high yield bond investments in 2015 as compared to 2014; and ii) lower cash balances as a result of a $39.9 million dividend payment in July 2014.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4" w:name="page15"/>
    <w:bookmarkEnd w:id="14"/>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 expense was $0.2 million and $0.5 million for the three months ended March 31, 2015 and 2014, respectively. Income tax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three month periods of 2015 and 2014 was based on the U.S. statutory rate of 34%, increased by state income taxes.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three month period ended March 31, 2015,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The tax benefits from such stock-based awards were $0.6 million in the three month period ended March 31, 2015. These tax benefits were recorded as an equity adjustment to additional paid-in capital.</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2015, we had a total of $0.8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deferred tax assets carried on our balance sheet, we also had net federal and state research and development credit carryforwards available at December 31, 2014 of $4.0 million and $0.3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$0.6 million equity adjustment to additional paid-in capital in the three month period ended March 31, 2015 was related to these deferred tax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Internal Revenue Service commenced an examination of our tax return for the year ended December 31, 2012 in September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2015, we had cash and cash equivalents of $44.7 million, which represented an increase of $0.7 million from December 31, 2014. The increase in cash and cash equivalents was primarily due to the following factors: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operations was $10,000 in the first quarter of 2015. This result included a $0.6 million non-cash item for excess tax benefits from stock-based compensation that reduced cash provided by operations. This presentation of cash flows is consistent with that required by generally accepted accounting principles. Excluding this non-cash tax benefit, cash provided by operations would have been $0.6 million on a non-GAAP basis.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provided by investing activities of $0.2 million consisted of $0.5 million from sales of investments less $0.3 million used to purchase a technology license that we included in other assets.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financing activities of $0.5 million consisted of $0.6 million of excess tax benefits from stock-based compensation less $0.1 million of cash used to pay income taxes for employees who surrendered shares in connection with stock grants.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G to our Consolidated Financial Statements in Item 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at March 31, 2015 consisted of two elements:</w:t>
      </w:r>
    </w:p>
    <w:p>
      <w:pPr>
        <w:spacing w:after="0" w:line="197" w:lineRule="exact"/>
        <w:rPr>
          <w:sz w:val="20"/>
          <w:szCs w:val="20"/>
          <w:color w:val="auto"/>
        </w:rPr>
      </w:pPr>
    </w:p>
    <w:p>
      <w:pPr>
        <w:jc w:val="both"/>
        <w:ind w:left="340" w:hanging="332"/>
        <w:spacing w:after="0" w:line="264"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March 31, 2015, our cash and cash equivalents of $44.7 million were primarily invested in money market funds. The</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funds were invested in high quality, short term financial instruments. Due to the nature, short duration, and professional management of these funds, we do not expect that a general increase in interest rates would result in any material loss.</w:t>
      </w:r>
    </w:p>
    <w:p>
      <w:pPr>
        <w:spacing w:after="0" w:line="208"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March 31, 2015, our investments of $0.9 million were invested in high yield bonds with two corporate debt issuers, which mature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and 2018. While we are exposed to default risk, the high current yield of these bonds largely mitigates interest rate risk. Therefore, due to the high current yield and the three to four year life of these instruments, we do not believe that a general increase in interest rates would result in any material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financial instruments for speculative or trading purposes.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2014,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52" w:lineRule="exact"/>
        <w:rPr>
          <w:sz w:val="20"/>
          <w:szCs w:val="20"/>
          <w:color w:val="auto"/>
        </w:rPr>
      </w:pPr>
    </w:p>
    <w:p>
      <w:pPr>
        <w:ind w:left="2040" w:right="60" w:hanging="1458"/>
        <w:spacing w:after="0" w:line="264" w:lineRule="auto"/>
        <w:tabs>
          <w:tab w:leader="none" w:pos="20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Form of Change in Control Retention Agreement between Aware, Inc. and each of Richard P. Moberg and Kevin T. Russell (filed as Exhibit 10.1 to the Company’s Form 8-K filed with the Securities and Exchange Commission on March 30, 2015 and incorporated herein by reference).</w:t>
      </w:r>
    </w:p>
    <w:p>
      <w:pPr>
        <w:spacing w:after="0" w:line="208"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co-Chief Executive Officer pursuant to Section 302 of the Sarbanes-Oxley Act of 2002.</w:t>
      </w:r>
    </w:p>
    <w:p>
      <w:pPr>
        <w:spacing w:after="0" w:line="252" w:lineRule="exact"/>
        <w:rPr>
          <w:sz w:val="20"/>
          <w:szCs w:val="20"/>
          <w:color w:val="auto"/>
        </w:rPr>
      </w:pPr>
    </w:p>
    <w:p>
      <w:pPr>
        <w:jc w:val="both"/>
        <w:ind w:left="2040" w:right="20" w:hanging="1458"/>
        <w:spacing w:after="0" w:line="277" w:lineRule="auto"/>
        <w:tabs>
          <w:tab w:leader="none" w:pos="20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97"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52" w:lineRule="exact"/>
        <w:rPr>
          <w:sz w:val="20"/>
          <w:szCs w:val="20"/>
          <w:color w:val="auto"/>
        </w:rPr>
      </w:pPr>
    </w:p>
    <w:p>
      <w:pPr>
        <w:jc w:val="both"/>
        <w:ind w:left="2040" w:hanging="1458"/>
        <w:spacing w:after="0" w:line="257" w:lineRule="auto"/>
        <w:tabs>
          <w:tab w:leader="none" w:pos="20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The following financial statements from Aware, Inc.’s Quarterly Report on Form 10-Q for the quarter ended March 31, 2015, formatted in XBRL (eXtensible Business Reporting Language), as follows: (i) Consolidated Balance Sheets as of March 31, 2015 and December 31, 2014, (ii) Consolidated Statements of Income and Comprehensive Income for the Three Months Ended March 31, 2015 and March 31, 2014, (iii) Consolidated Statements of Cash Flows for the Three Months Ended March 31, 2015 and March 31, 2014, and (iv) Notes to Consolidated Financial Statements.</w:t>
      </w:r>
    </w:p>
    <w:p>
      <w:pPr>
        <w:spacing w:after="0" w:line="21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w:t>
      </w:r>
    </w:p>
    <w:p>
      <w:pPr>
        <w:spacing w:after="0" w:line="252" w:lineRule="exact"/>
        <w:rPr>
          <w:sz w:val="20"/>
          <w:szCs w:val="20"/>
          <w:color w:val="auto"/>
        </w:rPr>
      </w:pPr>
    </w:p>
    <w:p>
      <w:pPr>
        <w:jc w:val="both"/>
        <w:ind w:firstLine="8"/>
        <w:spacing w:after="0" w:line="264" w:lineRule="auto"/>
        <w:tabs>
          <w:tab w:leader="none" w:pos="2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shall not be deemed filed for purposes of Sections 11 or 12 of the Securities Act of 1933, as amended, or Section 18 of the Securities Exchange Act of 1934, as amended, or otherwise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460" w:type="dxa"/>
            <w:vAlign w:val="bottom"/>
            <w:gridSpan w:val="2"/>
          </w:tcPr>
          <w:p>
            <w:pPr>
              <w:ind w:left="1880"/>
              <w:spacing w:after="0"/>
              <w:rPr>
                <w:sz w:val="20"/>
                <w:szCs w:val="20"/>
                <w:color w:val="auto"/>
              </w:rPr>
            </w:pPr>
            <w:r>
              <w:rPr>
                <w:rFonts w:ascii="Arial" w:cs="Arial" w:eastAsia="Arial" w:hAnsi="Arial"/>
                <w:sz w:val="18"/>
                <w:szCs w:val="18"/>
                <w:b w:val="1"/>
                <w:bCs w:val="1"/>
                <w:color w:val="auto"/>
              </w:rPr>
              <w:t>AWARE, INC.</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April 24, 2015</w:t>
            </w:r>
          </w:p>
        </w:tc>
        <w:tc>
          <w:tcPr>
            <w:tcW w:w="232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 Russell</w:t>
            </w: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Kevin T. Russell</w:t>
            </w:r>
          </w:p>
        </w:tc>
      </w:tr>
      <w:tr>
        <w:trPr>
          <w:trHeight w:val="216"/>
        </w:trPr>
        <w:tc>
          <w:tcPr>
            <w:tcW w:w="3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co-Chief Executive Officer &amp; co-President</w:t>
            </w: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April 24, 2015</w:t>
            </w:r>
          </w:p>
        </w:tc>
        <w:tc>
          <w:tcPr>
            <w:tcW w:w="232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Moberg</w:t>
            </w: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Richard P. Moberg</w:t>
            </w: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co-Chief Executive Officer &amp; co-President</w:t>
            </w:r>
          </w:p>
        </w:tc>
      </w:tr>
    </w:tbl>
    <w:p>
      <w:pPr>
        <w:ind w:left="6280"/>
        <w:spacing w:after="0"/>
        <w:rPr>
          <w:sz w:val="20"/>
          <w:szCs w:val="20"/>
          <w:color w:val="auto"/>
        </w:rPr>
      </w:pPr>
      <w:r>
        <w:rPr>
          <w:rFonts w:ascii="Arial" w:cs="Arial" w:eastAsia="Arial" w:hAnsi="Arial"/>
          <w:sz w:val="18"/>
          <w:szCs w:val="18"/>
          <w:color w:val="auto"/>
        </w:rPr>
        <w:t>Chief Financial Officer (Principal Financial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April 24, 2015</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 Russell</w:t>
            </w:r>
          </w:p>
        </w:tc>
        <w:tc>
          <w:tcPr>
            <w:tcW w:w="1360" w:type="dxa"/>
            <w:vAlign w:val="bottom"/>
          </w:tcPr>
          <w:p>
            <w:pPr>
              <w:spacing w:after="0"/>
              <w:rPr>
                <w:sz w:val="20"/>
                <w:szCs w:val="20"/>
                <w:color w:val="auto"/>
              </w:rPr>
            </w:pPr>
          </w:p>
        </w:tc>
      </w:tr>
      <w:tr>
        <w:trPr>
          <w:trHeight w:val="195"/>
        </w:trPr>
        <w:tc>
          <w:tcPr>
            <w:tcW w:w="618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Kevin T. Russell</w:t>
            </w:r>
          </w:p>
        </w:tc>
        <w:tc>
          <w:tcPr>
            <w:tcW w:w="136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co-Chief Executive Officer &amp; co-President</w:t>
            </w:r>
          </w:p>
        </w:tc>
        <w:tc>
          <w:tcPr>
            <w:tcW w:w="1360" w:type="dxa"/>
            <w:vAlign w:val="bottom"/>
          </w:tcPr>
          <w:p>
            <w:pPr>
              <w:spacing w:after="0"/>
              <w:rPr>
                <w:sz w:val="20"/>
                <w:szCs w:val="20"/>
                <w:color w:val="auto"/>
              </w:rPr>
            </w:pPr>
          </w:p>
        </w:tc>
      </w:tr>
      <w:tr>
        <w:trPr>
          <w:trHeight w:val="675"/>
        </w:trPr>
        <w:tc>
          <w:tcPr>
            <w:tcW w:w="6180" w:type="dxa"/>
            <w:vAlign w:val="bottom"/>
            <w:tcBorders>
              <w:bottom w:val="single" w:sz="8" w:color="DCDCDC"/>
            </w:tcBorders>
          </w:tcPr>
          <w:p>
            <w:pPr>
              <w:spacing w:after="0"/>
              <w:rPr>
                <w:sz w:val="24"/>
                <w:szCs w:val="24"/>
                <w:color w:val="auto"/>
              </w:rPr>
            </w:pPr>
          </w:p>
        </w:tc>
        <w:tc>
          <w:tcPr>
            <w:tcW w:w="3880" w:type="dxa"/>
            <w:vAlign w:val="bottom"/>
            <w:tcBorders>
              <w:bottom w:val="single" w:sz="8" w:color="DCDCDC"/>
            </w:tcBorders>
          </w:tcPr>
          <w:p>
            <w:pPr>
              <w:spacing w:after="0"/>
              <w:rPr>
                <w:sz w:val="24"/>
                <w:szCs w:val="24"/>
                <w:color w:val="auto"/>
              </w:rPr>
            </w:pPr>
          </w:p>
        </w:tc>
        <w:tc>
          <w:tcPr>
            <w:tcW w:w="1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April 24, 2015</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Moberg</w:t>
            </w:r>
          </w:p>
        </w:tc>
        <w:tc>
          <w:tcPr>
            <w:tcW w:w="1360" w:type="dxa"/>
            <w:vAlign w:val="bottom"/>
          </w:tcPr>
          <w:p>
            <w:pPr>
              <w:spacing w:after="0"/>
              <w:rPr>
                <w:sz w:val="20"/>
                <w:szCs w:val="20"/>
                <w:color w:val="auto"/>
              </w:rPr>
            </w:pPr>
          </w:p>
        </w:tc>
      </w:tr>
      <w:tr>
        <w:trPr>
          <w:trHeight w:val="195"/>
        </w:trPr>
        <w:tc>
          <w:tcPr>
            <w:tcW w:w="618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Richard P. Moberg</w:t>
            </w:r>
          </w:p>
        </w:tc>
        <w:tc>
          <w:tcPr>
            <w:tcW w:w="1360" w:type="dxa"/>
            <w:vAlign w:val="bottom"/>
          </w:tcPr>
          <w:p>
            <w:pPr>
              <w:spacing w:after="0"/>
              <w:rPr>
                <w:sz w:val="16"/>
                <w:szCs w:val="16"/>
                <w:color w:val="auto"/>
              </w:rPr>
            </w:pPr>
          </w:p>
        </w:tc>
      </w:tr>
      <w:tr>
        <w:trPr>
          <w:trHeight w:val="216"/>
        </w:trPr>
        <w:tc>
          <w:tcPr>
            <w:tcW w:w="61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co-Chief Executive Officer &amp; co-President</w:t>
            </w:r>
          </w:p>
        </w:tc>
        <w:tc>
          <w:tcPr>
            <w:tcW w:w="1360" w:type="dxa"/>
            <w:vAlign w:val="bottom"/>
          </w:tcPr>
          <w:p>
            <w:pPr>
              <w:spacing w:after="0"/>
              <w:rPr>
                <w:sz w:val="18"/>
                <w:szCs w:val="18"/>
                <w:color w:val="auto"/>
              </w:rPr>
            </w:pPr>
          </w:p>
        </w:tc>
      </w:tr>
      <w:tr>
        <w:trPr>
          <w:trHeight w:val="230"/>
        </w:trPr>
        <w:tc>
          <w:tcPr>
            <w:tcW w:w="61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r>
      <w:tr>
        <w:trPr>
          <w:trHeight w:val="675"/>
        </w:trPr>
        <w:tc>
          <w:tcPr>
            <w:tcW w:w="6180" w:type="dxa"/>
            <w:vAlign w:val="bottom"/>
            <w:tcBorders>
              <w:bottom w:val="single" w:sz="8" w:color="DCDCDC"/>
            </w:tcBorders>
          </w:tcPr>
          <w:p>
            <w:pPr>
              <w:spacing w:after="0"/>
              <w:rPr>
                <w:sz w:val="24"/>
                <w:szCs w:val="24"/>
                <w:color w:val="auto"/>
              </w:rPr>
            </w:pPr>
          </w:p>
        </w:tc>
        <w:tc>
          <w:tcPr>
            <w:tcW w:w="3880" w:type="dxa"/>
            <w:vAlign w:val="bottom"/>
            <w:tcBorders>
              <w:bottom w:val="single" w:sz="8" w:color="DCDCDC"/>
            </w:tcBorders>
          </w:tcPr>
          <w:p>
            <w:pPr>
              <w:spacing w:after="0"/>
              <w:rPr>
                <w:sz w:val="24"/>
                <w:szCs w:val="24"/>
                <w:color w:val="auto"/>
              </w:rPr>
            </w:pPr>
          </w:p>
        </w:tc>
        <w:tc>
          <w:tcPr>
            <w:tcW w:w="1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March 31, 2015,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 Russell</w:t>
            </w:r>
          </w:p>
        </w:tc>
        <w:tc>
          <w:tcPr>
            <w:tcW w:w="21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Moberg</w:t>
            </w: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co-Chief Executive Officer &amp; co-President</w:t>
            </w:r>
          </w:p>
        </w:tc>
        <w:tc>
          <w:tcPr>
            <w:tcW w:w="2180" w:type="dxa"/>
            <w:vAlign w:val="bottom"/>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co-Chief Executive Officer &amp; co-President</w:t>
            </w:r>
          </w:p>
        </w:tc>
      </w:tr>
      <w:tr>
        <w:trPr>
          <w:trHeight w:val="230"/>
        </w:trPr>
        <w:tc>
          <w:tcPr>
            <w:tcW w:w="4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Date: April 24, 2015</w:t>
            </w:r>
          </w:p>
        </w:tc>
        <w:tc>
          <w:tcPr>
            <w:tcW w:w="218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Date: April 24, 2015</w:t>
            </w: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1"/>
    </w:lvl>
  </w:abstractNum>
  <w:abstractNum w:abstractNumId="1">
    <w:nsid w:val="7545E146"/>
    <w:multiLevelType w:val="hybridMultilevel"/>
    <w:lvl w:ilvl="0">
      <w:lvlJc w:val="left"/>
      <w:lvlText w:val="%1)"/>
      <w:numFmt w:val="upperLetter"/>
      <w:start w:val="3"/>
    </w:lvl>
  </w:abstractNum>
  <w:abstractNum w:abstractNumId="2">
    <w:nsid w:val="515F007C"/>
    <w:multiLevelType w:val="hybridMultilevel"/>
    <w:lvl w:ilvl="0">
      <w:lvlJc w:val="left"/>
      <w:lvlText w:val="%1)"/>
      <w:numFmt w:val="upperLetter"/>
      <w:start w:val="4"/>
    </w:lvl>
  </w:abstractNum>
  <w:abstractNum w:abstractNumId="3">
    <w:nsid w:val="5BD062C2"/>
    <w:multiLevelType w:val="hybridMultilevel"/>
    <w:lvl w:ilvl="0">
      <w:lvlJc w:val="left"/>
      <w:lvlText w:val="%1)"/>
      <w:numFmt w:val="upperLetter"/>
      <w:start w:val="5"/>
    </w:lvl>
  </w:abstractNum>
  <w:abstractNum w:abstractNumId="4">
    <w:nsid w:val="12200854"/>
    <w:multiLevelType w:val="hybridMultilevel"/>
    <w:lvl w:ilvl="0">
      <w:lvlJc w:val="left"/>
      <w:lvlText w:val="%1)"/>
      <w:numFmt w:val="upperLetter"/>
      <w:start w:val="6"/>
    </w:lvl>
  </w:abstractNum>
  <w:abstractNum w:abstractNumId="5">
    <w:nsid w:val="4DB127F8"/>
    <w:multiLevelType w:val="hybridMultilevel"/>
    <w:lvl w:ilvl="0">
      <w:lvlJc w:val="left"/>
      <w:lvlText w:val="%1)"/>
      <w:numFmt w:val="upperLetter"/>
      <w:start w:val="7"/>
    </w:lvl>
  </w:abstractNum>
  <w:abstractNum w:abstractNumId="6">
    <w:nsid w:val="216231B"/>
    <w:multiLevelType w:val="hybridMultilevel"/>
    <w:lvl w:ilvl="0">
      <w:lvlJc w:val="left"/>
      <w:lvlText w:val="%1)"/>
      <w:numFmt w:val="upperLetter"/>
      <w:start w:val="9"/>
    </w:lvl>
  </w:abstractNum>
  <w:abstractNum w:abstractNumId="7">
    <w:nsid w:val="1F16E9E8"/>
    <w:multiLevelType w:val="hybridMultilevel"/>
    <w:lvl w:ilvl="0">
      <w:lvlJc w:val="left"/>
      <w:lvlText w:val="%1)"/>
      <w:numFmt w:val="lowerRoman"/>
      <w:start w:val="3"/>
    </w:lvl>
  </w:abstractNum>
  <w:abstractNum w:abstractNumId="8">
    <w:nsid w:val="1190CDE7"/>
    <w:multiLevelType w:val="hybridMultilevel"/>
    <w:lvl w:ilvl="0">
      <w:lvlJc w:val="left"/>
      <w:lvlText w:val="%1)"/>
      <w:numFmt w:val="lowerRoman"/>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2019-12-06T17:33:25Z</dcterms:created>
  <dcterms:modified xsi:type="dcterms:W3CDTF">2019-12-06T17:33:25Z</dcterms:modified>
</cp:coreProperties>
</file>