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900" w:type="dxa"/>
            <w:vAlign w:val="bottom"/>
            <w:gridSpan w:val="5"/>
          </w:tcPr>
          <w:p>
            <w:pPr>
              <w:jc w:val="center"/>
              <w:ind w:right="2720"/>
              <w:spacing w:after="0"/>
              <w:rPr>
                <w:sz w:val="20"/>
                <w:szCs w:val="20"/>
                <w:color w:val="auto"/>
              </w:rPr>
            </w:pPr>
            <w:r>
              <w:rPr>
                <w:rFonts w:ascii="Arial" w:cs="Arial" w:eastAsia="Arial" w:hAnsi="Arial"/>
                <w:sz w:val="18"/>
                <w:szCs w:val="18"/>
                <w:b w:val="1"/>
                <w:bCs w:val="1"/>
                <w:color w:val="auto"/>
                <w:w w:val="92"/>
              </w:rPr>
              <w:t>For the quarter ended March 31, 2013</w:t>
            </w:r>
          </w:p>
        </w:tc>
      </w:tr>
      <w:tr>
        <w:trPr>
          <w:trHeight w:val="432"/>
        </w:trPr>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00" w:type="dxa"/>
            <w:vAlign w:val="bottom"/>
            <w:gridSpan w:val="5"/>
          </w:tcPr>
          <w:p>
            <w:pPr>
              <w:jc w:val="center"/>
              <w:ind w:right="2720"/>
              <w:spacing w:after="0"/>
              <w:rPr>
                <w:sz w:val="20"/>
                <w:szCs w:val="20"/>
                <w:color w:val="auto"/>
              </w:rPr>
            </w:pPr>
            <w:r>
              <w:rPr>
                <w:rFonts w:ascii="Arial" w:cs="Arial" w:eastAsia="Arial" w:hAnsi="Arial"/>
                <w:sz w:val="18"/>
                <w:szCs w:val="18"/>
                <w:b w:val="1"/>
                <w:bCs w:val="1"/>
                <w:color w:val="auto"/>
                <w:w w:val="89"/>
              </w:rPr>
              <w:t>Commission file number 000-21129</w:t>
            </w:r>
          </w:p>
        </w:tc>
      </w:tr>
      <w:tr>
        <w:trPr>
          <w:trHeight w:val="414"/>
        </w:trPr>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60" w:type="dxa"/>
            <w:vAlign w:val="bottom"/>
            <w:gridSpan w:val="4"/>
          </w:tcPr>
          <w:p>
            <w:pPr>
              <w:jc w:val="center"/>
              <w:ind w:right="4340"/>
              <w:spacing w:after="0"/>
              <w:rPr>
                <w:sz w:val="20"/>
                <w:szCs w:val="20"/>
                <w:color w:val="auto"/>
              </w:rPr>
            </w:pPr>
            <w:r>
              <w:rPr>
                <w:rFonts w:ascii="Arial" w:cs="Arial" w:eastAsia="Arial" w:hAnsi="Arial"/>
                <w:sz w:val="18"/>
                <w:szCs w:val="18"/>
                <w:b w:val="1"/>
                <w:bCs w:val="1"/>
                <w:color w:val="auto"/>
                <w:w w:val="95"/>
              </w:rPr>
              <w:t>AWARE,</w:t>
            </w:r>
          </w:p>
        </w:tc>
      </w:tr>
      <w:tr>
        <w:trPr>
          <w:trHeight w:val="241"/>
        </w:trPr>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INC.</w:t>
            </w:r>
          </w:p>
        </w:tc>
        <w:tc>
          <w:tcPr>
            <w:tcW w:w="4340" w:type="dxa"/>
            <w:vAlign w:val="bottom"/>
            <w:gridSpan w:val="3"/>
          </w:tcPr>
          <w:p>
            <w:pPr>
              <w:spacing w:after="0"/>
              <w:rPr>
                <w:sz w:val="20"/>
                <w:szCs w:val="20"/>
                <w:color w:val="auto"/>
              </w:rPr>
            </w:pPr>
          </w:p>
        </w:tc>
      </w:tr>
      <w:tr>
        <w:trPr>
          <w:trHeight w:val="230"/>
        </w:trPr>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900" w:type="dxa"/>
            <w:vAlign w:val="bottom"/>
            <w:gridSpan w:val="5"/>
          </w:tcPr>
          <w:p>
            <w:pPr>
              <w:jc w:val="center"/>
              <w:ind w:right="272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452"/>
        </w:trPr>
        <w:tc>
          <w:tcPr>
            <w:tcW w:w="5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700" w:type="dxa"/>
            <w:vAlign w:val="bottom"/>
          </w:tcPr>
          <w:p>
            <w:pPr>
              <w:spacing w:after="0"/>
              <w:rPr>
                <w:sz w:val="24"/>
                <w:szCs w:val="24"/>
                <w:color w:val="auto"/>
              </w:rPr>
            </w:pPr>
          </w:p>
        </w:tc>
        <w:tc>
          <w:tcPr>
            <w:tcW w:w="5080" w:type="dxa"/>
            <w:vAlign w:val="bottom"/>
            <w:gridSpan w:val="3"/>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04-2911026</w:t>
            </w:r>
          </w:p>
        </w:tc>
        <w:tc>
          <w:tcPr>
            <w:tcW w:w="920" w:type="dxa"/>
            <w:vAlign w:val="bottom"/>
          </w:tcPr>
          <w:p>
            <w:pPr>
              <w:spacing w:after="0"/>
              <w:rPr>
                <w:sz w:val="24"/>
                <w:szCs w:val="24"/>
                <w:color w:val="auto"/>
              </w:rPr>
            </w:pPr>
          </w:p>
        </w:tc>
      </w:tr>
      <w:tr>
        <w:trPr>
          <w:trHeight w:val="202"/>
        </w:trPr>
        <w:tc>
          <w:tcPr>
            <w:tcW w:w="2360" w:type="dxa"/>
            <w:vAlign w:val="bottom"/>
            <w:gridSpan w:val="3"/>
          </w:tcPr>
          <w:p>
            <w:pPr>
              <w:jc w:val="center"/>
              <w:ind w:right="140"/>
              <w:spacing w:after="0" w:line="201" w:lineRule="exact"/>
              <w:rPr>
                <w:sz w:val="20"/>
                <w:szCs w:val="20"/>
                <w:color w:val="auto"/>
              </w:rPr>
            </w:pPr>
            <w:r>
              <w:rPr>
                <w:rFonts w:ascii="Arial" w:cs="Arial" w:eastAsia="Arial" w:hAnsi="Arial"/>
                <w:sz w:val="18"/>
                <w:szCs w:val="18"/>
                <w:color w:val="auto"/>
                <w:w w:val="91"/>
              </w:rPr>
              <w:t>(State or Other Jurisdiction of</w:t>
            </w:r>
          </w:p>
        </w:tc>
        <w:tc>
          <w:tcPr>
            <w:tcW w:w="1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340" w:type="dxa"/>
            <w:vAlign w:val="bottom"/>
            <w:gridSpan w:val="3"/>
          </w:tcPr>
          <w:p>
            <w:pPr>
              <w:ind w:left="1720"/>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23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Incorporation or Organization)</w:t>
            </w: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2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40 Middlesex Turnpike, Bedford, Massachusetts,</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01730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5715</wp:posOffset>
            </wp:positionV>
            <wp:extent cx="25387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ind w:right="4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o Accelerated Filer x Non-Accelerated Filer o Smaller Reporting Company o</w:t>
      </w:r>
    </w:p>
    <w:p>
      <w:pPr>
        <w:spacing w:after="0" w:line="208" w:lineRule="exact"/>
        <w:rPr>
          <w:sz w:val="24"/>
          <w:szCs w:val="24"/>
          <w:color w:val="auto"/>
        </w:rPr>
      </w:pPr>
    </w:p>
    <w:p>
      <w:pPr>
        <w:spacing w:after="0"/>
        <w:tabs>
          <w:tab w:leader="none" w:pos="89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NO x</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3"/>
          </w:tcPr>
          <w:p>
            <w:pPr>
              <w:jc w:val="center"/>
              <w:ind w:right="730"/>
              <w:spacing w:after="0"/>
              <w:rPr>
                <w:sz w:val="20"/>
                <w:szCs w:val="20"/>
                <w:color w:val="auto"/>
              </w:rPr>
            </w:pPr>
            <w:r>
              <w:rPr>
                <w:rFonts w:ascii="Arial" w:cs="Arial" w:eastAsia="Arial" w:hAnsi="Arial"/>
                <w:sz w:val="18"/>
                <w:szCs w:val="18"/>
                <w:color w:val="auto"/>
                <w:w w:val="91"/>
              </w:rPr>
              <w:t>Indicate the number of shares outstanding of the issuer’s common stock as of April 19, 2013:</w:t>
            </w:r>
          </w:p>
        </w:tc>
        <w:tc>
          <w:tcPr>
            <w:tcW w:w="22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4"/>
        </w:trPr>
        <w:tc>
          <w:tcPr>
            <w:tcW w:w="2080" w:type="dxa"/>
            <w:vAlign w:val="bottom"/>
          </w:tcPr>
          <w:p>
            <w:pPr>
              <w:spacing w:after="0"/>
              <w:rPr>
                <w:sz w:val="24"/>
                <w:szCs w:val="24"/>
                <w:color w:val="auto"/>
              </w:rPr>
            </w:pPr>
          </w:p>
        </w:tc>
        <w:tc>
          <w:tcPr>
            <w:tcW w:w="5460" w:type="dxa"/>
            <w:vAlign w:val="bottom"/>
            <w:gridSpan w:val="2"/>
          </w:tcPr>
          <w:p>
            <w:pPr>
              <w:ind w:left="80"/>
              <w:spacing w:after="0"/>
              <w:rPr>
                <w:sz w:val="20"/>
                <w:szCs w:val="20"/>
                <w:color w:val="auto"/>
              </w:rPr>
            </w:pPr>
            <w:r>
              <w:rPr>
                <w:rFonts w:ascii="Arial" w:cs="Arial" w:eastAsia="Arial" w:hAnsi="Arial"/>
                <w:sz w:val="18"/>
                <w:szCs w:val="18"/>
                <w:b w:val="1"/>
                <w:bCs w:val="1"/>
                <w:color w:val="auto"/>
              </w:rPr>
              <w:t>Class</w:t>
            </w:r>
          </w:p>
        </w:tc>
        <w:tc>
          <w:tcPr>
            <w:tcW w:w="2280" w:type="dxa"/>
            <w:vAlign w:val="bottom"/>
          </w:tcPr>
          <w:p>
            <w:pPr>
              <w:ind w:left="440"/>
              <w:spacing w:after="0"/>
              <w:rPr>
                <w:sz w:val="20"/>
                <w:szCs w:val="20"/>
                <w:color w:val="auto"/>
              </w:rPr>
            </w:pPr>
            <w:r>
              <w:rPr>
                <w:rFonts w:ascii="Arial" w:cs="Arial" w:eastAsia="Arial" w:hAnsi="Arial"/>
                <w:sz w:val="18"/>
                <w:szCs w:val="18"/>
                <w:b w:val="1"/>
                <w:bCs w:val="1"/>
                <w:color w:val="auto"/>
              </w:rPr>
              <w:t>Number of Shares</w:t>
            </w:r>
          </w:p>
        </w:tc>
        <w:tc>
          <w:tcPr>
            <w:tcW w:w="1600" w:type="dxa"/>
            <w:vAlign w:val="bottom"/>
          </w:tcPr>
          <w:p>
            <w:pPr>
              <w:spacing w:after="0"/>
              <w:rPr>
                <w:sz w:val="24"/>
                <w:szCs w:val="24"/>
                <w:color w:val="auto"/>
              </w:rPr>
            </w:pPr>
          </w:p>
        </w:tc>
      </w:tr>
      <w:tr>
        <w:trPr>
          <w:trHeight w:val="241"/>
        </w:trPr>
        <w:tc>
          <w:tcPr>
            <w:tcW w:w="20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880" w:type="dxa"/>
            <w:vAlign w:val="bottom"/>
          </w:tcPr>
          <w:p>
            <w:pPr>
              <w:spacing w:after="0"/>
              <w:rPr>
                <w:sz w:val="20"/>
                <w:szCs w:val="20"/>
                <w:color w:val="auto"/>
              </w:rPr>
            </w:pPr>
          </w:p>
        </w:tc>
        <w:tc>
          <w:tcPr>
            <w:tcW w:w="228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Outstanding</w:t>
            </w:r>
          </w:p>
        </w:tc>
        <w:tc>
          <w:tcPr>
            <w:tcW w:w="1600" w:type="dxa"/>
            <w:vAlign w:val="bottom"/>
          </w:tcPr>
          <w:p>
            <w:pPr>
              <w:spacing w:after="0"/>
              <w:rPr>
                <w:sz w:val="20"/>
                <w:szCs w:val="20"/>
                <w:color w:val="auto"/>
              </w:rPr>
            </w:pPr>
          </w:p>
        </w:tc>
      </w:tr>
      <w:tr>
        <w:trPr>
          <w:trHeight w:val="230"/>
        </w:trPr>
        <w:tc>
          <w:tcPr>
            <w:tcW w:w="2660" w:type="dxa"/>
            <w:vAlign w:val="bottom"/>
            <w:gridSpan w:val="2"/>
          </w:tcPr>
          <w:p>
            <w:pPr>
              <w:ind w:left="1080"/>
              <w:spacing w:after="0"/>
              <w:rPr>
                <w:sz w:val="20"/>
                <w:szCs w:val="20"/>
                <w:color w:val="auto"/>
              </w:rPr>
            </w:pPr>
            <w:r>
              <w:rPr>
                <w:rFonts w:ascii="Arial" w:cs="Arial" w:eastAsia="Arial" w:hAnsi="Arial"/>
                <w:sz w:val="18"/>
                <w:szCs w:val="18"/>
                <w:color w:val="auto"/>
                <w:w w:val="98"/>
              </w:rPr>
              <w:t>Common Stock, par</w:t>
            </w:r>
          </w:p>
        </w:tc>
        <w:tc>
          <w:tcPr>
            <w:tcW w:w="4880" w:type="dxa"/>
            <w:vAlign w:val="bottom"/>
          </w:tcPr>
          <w:p>
            <w:pPr>
              <w:jc w:val="center"/>
              <w:ind w:right="3350"/>
              <w:spacing w:after="0"/>
              <w:rPr>
                <w:sz w:val="20"/>
                <w:szCs w:val="20"/>
                <w:color w:val="auto"/>
              </w:rPr>
            </w:pPr>
            <w:r>
              <w:rPr>
                <w:rFonts w:ascii="Arial" w:cs="Arial" w:eastAsia="Arial" w:hAnsi="Arial"/>
                <w:sz w:val="18"/>
                <w:szCs w:val="18"/>
                <w:color w:val="auto"/>
                <w:w w:val="82"/>
              </w:rPr>
              <w:t>value $0.01 per share</w:t>
            </w:r>
          </w:p>
        </w:tc>
        <w:tc>
          <w:tcPr>
            <w:tcW w:w="2280" w:type="dxa"/>
            <w:vAlign w:val="bottom"/>
          </w:tcPr>
          <w:p>
            <w:pPr>
              <w:ind w:left="660"/>
              <w:spacing w:after="0"/>
              <w:rPr>
                <w:sz w:val="20"/>
                <w:szCs w:val="20"/>
                <w:color w:val="auto"/>
              </w:rPr>
            </w:pPr>
            <w:r>
              <w:rPr>
                <w:rFonts w:ascii="Arial" w:cs="Arial" w:eastAsia="Arial" w:hAnsi="Arial"/>
                <w:sz w:val="18"/>
                <w:szCs w:val="18"/>
                <w:color w:val="auto"/>
              </w:rPr>
              <w:t>22,515,518 shares</w:t>
            </w:r>
          </w:p>
        </w:tc>
        <w:tc>
          <w:tcPr>
            <w:tcW w:w="1600" w:type="dxa"/>
            <w:vAlign w:val="bottom"/>
          </w:tcPr>
          <w:p>
            <w:pPr>
              <w:spacing w:after="0"/>
              <w:rPr>
                <w:sz w:val="20"/>
                <w:szCs w:val="20"/>
                <w:color w:val="auto"/>
              </w:rPr>
            </w:pPr>
          </w:p>
        </w:tc>
      </w:tr>
      <w:tr>
        <w:trPr>
          <w:trHeight w:val="104"/>
        </w:trPr>
        <w:tc>
          <w:tcPr>
            <w:tcW w:w="2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71"/>
        </w:trPr>
        <w:tc>
          <w:tcPr>
            <w:tcW w:w="208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4880" w:type="dxa"/>
            <w:vAlign w:val="bottom"/>
            <w:shd w:val="clear" w:color="auto" w:fill="808080"/>
          </w:tcPr>
          <w:p>
            <w:pPr>
              <w:spacing w:after="0"/>
              <w:rPr>
                <w:sz w:val="6"/>
                <w:szCs w:val="6"/>
                <w:color w:val="auto"/>
              </w:rPr>
            </w:pPr>
          </w:p>
        </w:tc>
        <w:tc>
          <w:tcPr>
            <w:tcW w:w="2280" w:type="dxa"/>
            <w:vAlign w:val="bottom"/>
            <w:shd w:val="clear" w:color="auto" w:fill="808080"/>
          </w:tcPr>
          <w:p>
            <w:pPr>
              <w:spacing w:after="0"/>
              <w:rPr>
                <w:sz w:val="6"/>
                <w:szCs w:val="6"/>
                <w:color w:val="auto"/>
              </w:rPr>
            </w:pPr>
          </w:p>
        </w:tc>
        <w:tc>
          <w:tcPr>
            <w:tcW w:w="1600" w:type="dxa"/>
            <w:vAlign w:val="bottom"/>
            <w:shd w:val="clear" w:color="auto" w:fill="808080"/>
          </w:tcPr>
          <w:p>
            <w:pPr>
              <w:spacing w:after="0"/>
              <w:rPr>
                <w:sz w:val="6"/>
                <w:szCs w:val="6"/>
                <w:color w:val="auto"/>
              </w:rPr>
            </w:pPr>
          </w:p>
        </w:tc>
      </w:tr>
      <w:tr>
        <w:trPr>
          <w:trHeight w:val="743"/>
        </w:trPr>
        <w:tc>
          <w:tcPr>
            <w:tcW w:w="20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31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998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r>
      <w:tr>
        <w:trPr>
          <w:trHeight w:val="439"/>
        </w:trPr>
        <w:tc>
          <w:tcPr>
            <w:tcW w:w="94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Page</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PART I</w:t>
            </w:r>
          </w:p>
        </w:tc>
        <w:tc>
          <w:tcPr>
            <w:tcW w:w="9980" w:type="dxa"/>
            <w:vAlign w:val="bottom"/>
          </w:tcPr>
          <w:p>
            <w:pPr>
              <w:ind w:left="320"/>
              <w:spacing w:after="0"/>
              <w:rPr>
                <w:sz w:val="20"/>
                <w:szCs w:val="20"/>
                <w:color w:val="auto"/>
              </w:rPr>
            </w:pPr>
            <w:r>
              <w:rPr>
                <w:rFonts w:ascii="Arial" w:cs="Arial" w:eastAsia="Arial" w:hAnsi="Arial"/>
                <w:sz w:val="18"/>
                <w:szCs w:val="18"/>
                <w:color w:val="auto"/>
              </w:rPr>
              <w:t>FINANCIAL INFORMATION</w:t>
            </w:r>
          </w:p>
        </w:tc>
        <w:tc>
          <w:tcPr>
            <w:tcW w:w="500" w:type="dxa"/>
            <w:vAlign w:val="bottom"/>
          </w:tcPr>
          <w:p>
            <w:pPr>
              <w:spacing w:after="0"/>
              <w:rPr>
                <w:sz w:val="18"/>
                <w:szCs w:val="18"/>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tcPr>
          <w:p>
            <w:pPr>
              <w:ind w:left="320"/>
              <w:spacing w:after="0"/>
              <w:rPr>
                <w:sz w:val="20"/>
                <w:szCs w:val="20"/>
                <w:color w:val="auto"/>
              </w:rPr>
            </w:pPr>
            <w:r>
              <w:rPr>
                <w:rFonts w:ascii="Arial" w:cs="Arial" w:eastAsia="Arial" w:hAnsi="Arial"/>
                <w:sz w:val="18"/>
                <w:szCs w:val="18"/>
                <w:color w:val="auto"/>
              </w:rPr>
              <w:t>Unaudited Consolidated Financial Statements</w:t>
            </w:r>
          </w:p>
        </w:tc>
        <w:tc>
          <w:tcPr>
            <w:tcW w:w="50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rPr>
              <w:t>Consolidated Balance Sheets as of March 31, 2013 and December 31, 2012</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432"/>
        </w:trPr>
        <w:tc>
          <w:tcPr>
            <w:tcW w:w="940" w:type="dxa"/>
            <w:vAlign w:val="bottom"/>
          </w:tcPr>
          <w:p>
            <w:pPr>
              <w:spacing w:after="0"/>
              <w:rPr>
                <w:sz w:val="24"/>
                <w:szCs w:val="24"/>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rPr>
              <w:t>Consolidated Statements of Comprehensive Income for the Three Months Ended March 31, 2013 and March 31, 2012</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432"/>
        </w:trPr>
        <w:tc>
          <w:tcPr>
            <w:tcW w:w="940" w:type="dxa"/>
            <w:vAlign w:val="bottom"/>
          </w:tcPr>
          <w:p>
            <w:pPr>
              <w:spacing w:after="0"/>
              <w:rPr>
                <w:sz w:val="24"/>
                <w:szCs w:val="24"/>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rPr>
              <w:t>Consolidated Statements of Cash Flows for the Three Months Ended March 31, 2013 and March 31, 2012</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432"/>
        </w:trPr>
        <w:tc>
          <w:tcPr>
            <w:tcW w:w="940" w:type="dxa"/>
            <w:vAlign w:val="bottom"/>
          </w:tcPr>
          <w:p>
            <w:pPr>
              <w:spacing w:after="0"/>
              <w:rPr>
                <w:sz w:val="24"/>
                <w:szCs w:val="24"/>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980" w:type="dxa"/>
            <w:vAlign w:val="bottom"/>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9980" w:type="dxa"/>
            <w:vAlign w:val="bottom"/>
          </w:tcPr>
          <w:p>
            <w:pPr>
              <w:ind w:left="320"/>
              <w:spacing w:after="0"/>
              <w:rPr>
                <w:sz w:val="20"/>
                <w:szCs w:val="20"/>
                <w:color w:val="auto"/>
              </w:rPr>
            </w:pPr>
            <w:r>
              <w:rPr>
                <w:rFonts w:ascii="Arial" w:cs="Arial" w:eastAsia="Arial" w:hAnsi="Arial"/>
                <w:sz w:val="18"/>
                <w:szCs w:val="18"/>
                <w:color w:val="auto"/>
              </w:rPr>
              <w:t>Quantitative and Qualitative Disclosures about Market Risk</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980" w:type="dxa"/>
            <w:vAlign w:val="bottom"/>
          </w:tcPr>
          <w:p>
            <w:pPr>
              <w:ind w:left="320"/>
              <w:spacing w:after="0"/>
              <w:rPr>
                <w:sz w:val="20"/>
                <w:szCs w:val="20"/>
                <w:color w:val="auto"/>
              </w:rPr>
            </w:pPr>
            <w:r>
              <w:rPr>
                <w:rFonts w:ascii="Arial" w:cs="Arial" w:eastAsia="Arial" w:hAnsi="Arial"/>
                <w:sz w:val="18"/>
                <w:szCs w:val="18"/>
                <w:color w:val="auto"/>
              </w:rPr>
              <w:t>Controls and Procedures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PART II</w:t>
            </w:r>
          </w:p>
        </w:tc>
        <w:tc>
          <w:tcPr>
            <w:tcW w:w="9980" w:type="dxa"/>
            <w:vAlign w:val="bottom"/>
          </w:tcPr>
          <w:p>
            <w:pPr>
              <w:ind w:left="320"/>
              <w:spacing w:after="0"/>
              <w:rPr>
                <w:sz w:val="20"/>
                <w:szCs w:val="20"/>
                <w:color w:val="auto"/>
              </w:rPr>
            </w:pPr>
            <w:r>
              <w:rPr>
                <w:rFonts w:ascii="Arial" w:cs="Arial" w:eastAsia="Arial" w:hAnsi="Arial"/>
                <w:sz w:val="18"/>
                <w:szCs w:val="18"/>
                <w:color w:val="auto"/>
              </w:rPr>
              <w:t>OTHER INFORMATION</w:t>
            </w:r>
          </w:p>
        </w:tc>
        <w:tc>
          <w:tcPr>
            <w:tcW w:w="50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tcPr>
          <w:p>
            <w:pPr>
              <w:ind w:left="320"/>
              <w:spacing w:after="0"/>
              <w:rPr>
                <w:sz w:val="20"/>
                <w:szCs w:val="20"/>
                <w:color w:val="auto"/>
              </w:rPr>
            </w:pPr>
            <w:r>
              <w:rPr>
                <w:rFonts w:ascii="Arial" w:cs="Arial" w:eastAsia="Arial" w:hAnsi="Arial"/>
                <w:sz w:val="18"/>
                <w:szCs w:val="18"/>
                <w:color w:val="auto"/>
              </w:rPr>
              <w:t>Legal Proceedings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980" w:type="dxa"/>
            <w:vAlign w:val="bottom"/>
          </w:tcPr>
          <w:p>
            <w:pPr>
              <w:ind w:left="320"/>
              <w:spacing w:after="0"/>
              <w:rPr>
                <w:sz w:val="20"/>
                <w:szCs w:val="20"/>
                <w:color w:val="auto"/>
              </w:rPr>
            </w:pPr>
            <w:r>
              <w:rPr>
                <w:rFonts w:ascii="Arial" w:cs="Arial" w:eastAsia="Arial" w:hAnsi="Arial"/>
                <w:sz w:val="18"/>
                <w:szCs w:val="18"/>
                <w:color w:val="auto"/>
              </w:rPr>
              <w:t>Risk Factors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980" w:type="dxa"/>
            <w:vAlign w:val="bottom"/>
          </w:tcPr>
          <w:p>
            <w:pPr>
              <w:ind w:left="320"/>
              <w:spacing w:after="0"/>
              <w:rPr>
                <w:sz w:val="20"/>
                <w:szCs w:val="20"/>
                <w:color w:val="auto"/>
              </w:rPr>
            </w:pPr>
            <w:r>
              <w:rPr>
                <w:rFonts w:ascii="Arial" w:cs="Arial" w:eastAsia="Arial" w:hAnsi="Arial"/>
                <w:sz w:val="18"/>
                <w:szCs w:val="18"/>
                <w:color w:val="auto"/>
              </w:rPr>
              <w:t>Mine Safety Disclosures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980" w:type="dxa"/>
            <w:vAlign w:val="bottom"/>
          </w:tcPr>
          <w:p>
            <w:pPr>
              <w:ind w:left="320"/>
              <w:spacing w:after="0"/>
              <w:rPr>
                <w:sz w:val="20"/>
                <w:szCs w:val="20"/>
                <w:color w:val="auto"/>
              </w:rPr>
            </w:pPr>
            <w:r>
              <w:rPr>
                <w:rFonts w:ascii="Arial" w:cs="Arial" w:eastAsia="Arial" w:hAnsi="Arial"/>
                <w:sz w:val="18"/>
                <w:szCs w:val="18"/>
                <w:color w:val="auto"/>
              </w:rPr>
              <w:t>Exhibits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432"/>
        </w:trPr>
        <w:tc>
          <w:tcPr>
            <w:tcW w:w="940" w:type="dxa"/>
            <w:vAlign w:val="bottom"/>
          </w:tcPr>
          <w:p>
            <w:pPr>
              <w:spacing w:after="0"/>
              <w:rPr>
                <w:sz w:val="24"/>
                <w:szCs w:val="24"/>
                <w:color w:val="auto"/>
              </w:rPr>
            </w:pPr>
          </w:p>
        </w:tc>
        <w:tc>
          <w:tcPr>
            <w:tcW w:w="9980" w:type="dxa"/>
            <w:vAlign w:val="bottom"/>
          </w:tcPr>
          <w:p>
            <w:pPr>
              <w:ind w:left="320"/>
              <w:spacing w:after="0"/>
              <w:rPr>
                <w:sz w:val="20"/>
                <w:szCs w:val="20"/>
                <w:color w:val="auto"/>
              </w:rPr>
            </w:pPr>
            <w:r>
              <w:rPr>
                <w:rFonts w:ascii="Arial" w:cs="Arial" w:eastAsia="Arial" w:hAnsi="Arial"/>
                <w:sz w:val="18"/>
                <w:szCs w:val="18"/>
                <w:color w:val="auto"/>
              </w:rPr>
              <w:t>Signatures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608"/>
        </w:trPr>
        <w:tc>
          <w:tcPr>
            <w:tcW w:w="940" w:type="dxa"/>
            <w:vAlign w:val="bottom"/>
          </w:tcPr>
          <w:p>
            <w:pPr>
              <w:spacing w:after="0"/>
              <w:rPr>
                <w:sz w:val="24"/>
                <w:szCs w:val="24"/>
                <w:color w:val="auto"/>
              </w:rPr>
            </w:pPr>
          </w:p>
        </w:tc>
        <w:tc>
          <w:tcPr>
            <w:tcW w:w="9980" w:type="dxa"/>
            <w:vAlign w:val="bottom"/>
          </w:tcPr>
          <w:p>
            <w:pPr>
              <w:ind w:left="472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r>
      <w:tr>
        <w:trPr>
          <w:trHeight w:val="108"/>
        </w:trPr>
        <w:tc>
          <w:tcPr>
            <w:tcW w:w="940" w:type="dxa"/>
            <w:vAlign w:val="bottom"/>
            <w:tcBorders>
              <w:bottom w:val="single" w:sz="8" w:color="808080"/>
            </w:tcBorders>
          </w:tcPr>
          <w:p>
            <w:pPr>
              <w:spacing w:after="0"/>
              <w:rPr>
                <w:sz w:val="9"/>
                <w:szCs w:val="9"/>
                <w:color w:val="auto"/>
              </w:rPr>
            </w:pPr>
          </w:p>
        </w:tc>
        <w:tc>
          <w:tcPr>
            <w:tcW w:w="9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2"/>
        </w:trPr>
        <w:tc>
          <w:tcPr>
            <w:tcW w:w="88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72,507</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71,074</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Receivable from patent arrangement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8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79,594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76,997</w:t>
            </w:r>
          </w:p>
        </w:tc>
        <w:tc>
          <w:tcPr>
            <w:tcW w:w="0" w:type="dxa"/>
            <w:vAlign w:val="bottom"/>
          </w:tcPr>
          <w:p>
            <w:pPr>
              <w:spacing w:after="0"/>
              <w:rPr>
                <w:sz w:val="1"/>
                <w:szCs w:val="1"/>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5,867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5,904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Long term deferred tax assets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88,444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85,854</w:t>
            </w:r>
          </w:p>
        </w:tc>
        <w:tc>
          <w:tcPr>
            <w:tcW w:w="0" w:type="dxa"/>
            <w:vAlign w:val="bottom"/>
          </w:tcPr>
          <w:p>
            <w:pPr>
              <w:spacing w:after="0"/>
              <w:rPr>
                <w:sz w:val="1"/>
                <w:szCs w:val="1"/>
                <w:color w:val="auto"/>
              </w:rPr>
            </w:pPr>
          </w:p>
        </w:tc>
      </w:tr>
      <w:tr>
        <w:trPr>
          <w:trHeight w:val="21"/>
        </w:trPr>
        <w:tc>
          <w:tcPr>
            <w:tcW w:w="88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professional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Preferred stock, $1.00 par value; 1,000,000 shares authorized,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none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Common stock, $.01 par value; 70,000,000 shares authorized;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and outstanding 22,514,018 as of March 31, 2013 and 22,509,518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as of December 31, 2012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101,429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100,561</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84,679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81,896</w:t>
            </w:r>
          </w:p>
        </w:tc>
        <w:tc>
          <w:tcPr>
            <w:tcW w:w="0" w:type="dxa"/>
            <w:vAlign w:val="bottom"/>
          </w:tcPr>
          <w:p>
            <w:pPr>
              <w:spacing w:after="0"/>
              <w:rPr>
                <w:sz w:val="1"/>
                <w:szCs w:val="1"/>
                <w:color w:val="auto"/>
              </w:rPr>
            </w:pPr>
          </w:p>
        </w:tc>
      </w:tr>
      <w:tr>
        <w:trPr>
          <w:trHeight w:val="432"/>
        </w:trPr>
        <w:tc>
          <w:tcPr>
            <w:tcW w:w="88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88,444</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85,854</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34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2012</w:t>
            </w:r>
          </w:p>
        </w:tc>
        <w:tc>
          <w:tcPr>
            <w:tcW w:w="0" w:type="dxa"/>
            <w:vAlign w:val="bottom"/>
          </w:tcPr>
          <w:p>
            <w:pPr>
              <w:spacing w:after="0"/>
              <w:rPr>
                <w:sz w:val="1"/>
                <w:szCs w:val="1"/>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Software licenses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3,808</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Software maintenance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7"/>
        </w:trPr>
        <w:tc>
          <w:tcPr>
            <w:tcW w:w="848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3"/>
        </w:trPr>
        <w:tc>
          <w:tcPr>
            <w:tcW w:w="84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37"/>
        </w:trPr>
        <w:tc>
          <w:tcPr>
            <w:tcW w:w="84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8480" w:type="dxa"/>
            <w:vAlign w:val="bottom"/>
          </w:tcPr>
          <w:p>
            <w:pPr>
              <w:ind w:left="440"/>
              <w:spacing w:after="0"/>
              <w:rPr>
                <w:sz w:val="20"/>
                <w:szCs w:val="20"/>
                <w:color w:val="auto"/>
              </w:rPr>
            </w:pPr>
            <w:r>
              <w:rPr>
                <w:rFonts w:ascii="Arial" w:cs="Arial" w:eastAsia="Arial" w:hAnsi="Arial"/>
                <w:sz w:val="18"/>
                <w:szCs w:val="18"/>
                <w:color w:val="auto"/>
              </w:rPr>
              <w:t>Total cost and expenses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Operating income before patent related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Income from patent arrangement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Operating income after patent related income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2,792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2,874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1,857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84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1,857</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
        </w:trPr>
        <w:tc>
          <w:tcPr>
            <w:tcW w:w="8480" w:type="dxa"/>
            <w:vAlign w:val="bottom"/>
            <w:vMerge w:val="restart"/>
          </w:tcPr>
          <w:p>
            <w:pPr>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20"/>
              <w:spacing w:after="0"/>
              <w:rPr>
                <w:sz w:val="20"/>
                <w:szCs w:val="20"/>
                <w:color w:val="auto"/>
              </w:rPr>
            </w:pPr>
            <w:r>
              <w:rPr>
                <w:rFonts w:ascii="Arial" w:cs="Arial" w:eastAsia="Arial" w:hAnsi="Arial"/>
                <w:sz w:val="18"/>
                <w:szCs w:val="18"/>
                <w:color w:val="auto"/>
              </w:rPr>
              <w:t>Basic net income per share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7"/>
        </w:trPr>
        <w:tc>
          <w:tcPr>
            <w:tcW w:w="8480" w:type="dxa"/>
            <w:vAlign w:val="bottom"/>
          </w:tcPr>
          <w:p>
            <w:pPr>
              <w:ind w:left="120"/>
              <w:spacing w:after="0"/>
              <w:rPr>
                <w:sz w:val="20"/>
                <w:szCs w:val="20"/>
                <w:color w:val="auto"/>
              </w:rPr>
            </w:pPr>
            <w:r>
              <w:rPr>
                <w:rFonts w:ascii="Arial" w:cs="Arial" w:eastAsia="Arial" w:hAnsi="Arial"/>
                <w:sz w:val="18"/>
                <w:szCs w:val="18"/>
                <w:color w:val="auto"/>
              </w:rPr>
              <w:t>Basic net loss per share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848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20"/>
              <w:spacing w:after="0"/>
              <w:rPr>
                <w:sz w:val="20"/>
                <w:szCs w:val="20"/>
                <w:color w:val="auto"/>
              </w:rPr>
            </w:pPr>
            <w:r>
              <w:rPr>
                <w:rFonts w:ascii="Arial" w:cs="Arial" w:eastAsia="Arial" w:hAnsi="Arial"/>
                <w:sz w:val="18"/>
                <w:szCs w:val="18"/>
                <w:color w:val="auto"/>
              </w:rPr>
              <w:t>Diluted net income per share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7"/>
        </w:trPr>
        <w:tc>
          <w:tcPr>
            <w:tcW w:w="8480" w:type="dxa"/>
            <w:vAlign w:val="bottom"/>
          </w:tcPr>
          <w:p>
            <w:pPr>
              <w:ind w:left="120"/>
              <w:spacing w:after="0"/>
              <w:rPr>
                <w:sz w:val="20"/>
                <w:szCs w:val="20"/>
                <w:color w:val="auto"/>
              </w:rPr>
            </w:pPr>
            <w:r>
              <w:rPr>
                <w:rFonts w:ascii="Arial" w:cs="Arial" w:eastAsia="Arial" w:hAnsi="Arial"/>
                <w:sz w:val="18"/>
                <w:szCs w:val="18"/>
                <w:color w:val="auto"/>
              </w:rPr>
              <w:t>Diluted net loss per share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8480" w:type="dxa"/>
            <w:vAlign w:val="bottom"/>
          </w:tcPr>
          <w:p>
            <w:pPr>
              <w:spacing w:after="0"/>
              <w:rPr>
                <w:sz w:val="20"/>
                <w:szCs w:val="20"/>
                <w:color w:val="auto"/>
              </w:rPr>
            </w:pPr>
            <w:r>
              <w:rPr>
                <w:rFonts w:ascii="Arial" w:cs="Arial" w:eastAsia="Arial" w:hAnsi="Arial"/>
                <w:sz w:val="18"/>
                <w:szCs w:val="18"/>
                <w:color w:val="auto"/>
              </w:rPr>
              <w:t>Weighted-average shares – basic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22,511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20,724</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Weighted-average shares - diluted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1,857</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848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60"/>
              <w:spacing w:after="0"/>
              <w:rPr>
                <w:sz w:val="20"/>
                <w:szCs w:val="20"/>
                <w:color w:val="auto"/>
              </w:rPr>
            </w:pPr>
            <w:r>
              <w:rPr>
                <w:rFonts w:ascii="Arial" w:cs="Arial" w:eastAsia="Arial" w:hAnsi="Arial"/>
                <w:sz w:val="18"/>
                <w:szCs w:val="18"/>
                <w:color w:val="auto"/>
              </w:rPr>
              <w:t>Unrealized gains on available for sale securities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2012</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1,857</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provided by operating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Amortization of premium (discount) on investments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Gain on sale of investments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8820" w:type="dxa"/>
            <w:vAlign w:val="bottom"/>
          </w:tcPr>
          <w:p>
            <w:pPr>
              <w:ind w:left="540"/>
              <w:spacing w:after="0"/>
              <w:rPr>
                <w:sz w:val="20"/>
                <w:szCs w:val="20"/>
                <w:color w:val="auto"/>
              </w:rPr>
            </w:pPr>
            <w:r>
              <w:rPr>
                <w:rFonts w:ascii="Arial" w:cs="Arial" w:eastAsia="Arial" w:hAnsi="Arial"/>
                <w:sz w:val="18"/>
                <w:szCs w:val="18"/>
                <w:color w:val="auto"/>
              </w:rPr>
              <w:t>Receivable from patent arrangement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8820" w:type="dxa"/>
            <w:vAlign w:val="bottom"/>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820" w:type="dxa"/>
            <w:vAlign w:val="bottom"/>
          </w:tcPr>
          <w:p>
            <w:pPr>
              <w:ind w:left="54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Accrued expenses, compensation, and professional</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8820" w:type="dxa"/>
            <w:vAlign w:val="bottom"/>
          </w:tcPr>
          <w:p>
            <w:pPr>
              <w:ind w:left="54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82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Sales of investments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8820" w:type="dxa"/>
            <w:vAlign w:val="bottom"/>
          </w:tcPr>
          <w:p>
            <w:pPr>
              <w:ind w:left="68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Payments made for taxes of employees who surrendered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20" w:type="dxa"/>
            <w:vAlign w:val="bottom"/>
          </w:tcPr>
          <w:p>
            <w:pPr>
              <w:ind w:left="360"/>
              <w:spacing w:after="0"/>
              <w:rPr>
                <w:sz w:val="20"/>
                <w:szCs w:val="20"/>
                <w:color w:val="auto"/>
              </w:rPr>
            </w:pPr>
            <w:r>
              <w:rPr>
                <w:rFonts w:ascii="Arial" w:cs="Arial" w:eastAsia="Arial" w:hAnsi="Arial"/>
                <w:sz w:val="18"/>
                <w:szCs w:val="18"/>
                <w:color w:val="auto"/>
              </w:rPr>
              <w:t>shares related to unrestricted stock</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820" w:type="dxa"/>
            <w:vAlign w:val="bottom"/>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71,074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46,577</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72,507</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48,444</w:t>
            </w: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color w:val="auto"/>
              </w:rPr>
              <w:t>Supplemental disclosure: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consolidated financial statements have been prepared in accordance with the instructions for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2012 in conjunction with our 2012 Annual Report on Form 10-K. This Form 10-Q should be read in conjunction with that Form 10-K.</w:t>
      </w:r>
    </w:p>
    <w:p>
      <w:pPr>
        <w:spacing w:after="0" w:line="215"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The accompanying unaudited consolidated balance sheets, statements of comprehensive income, and statements of cash flows reflect all adjustments (consisting only of normal recurring items) which are, in the opinion of management, necessary for a fair presentation of financial position at March 31, 2013, and of operations and cash flows for the interim periods ended March 31, 2013 and 2012.</w:t>
      </w:r>
    </w:p>
    <w:p>
      <w:pPr>
        <w:spacing w:after="0" w:line="20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results of operations for the interim period ended March 31, 2013 are not necessarily indicative of the results to be expected for the year.</w:t>
      </w:r>
    </w:p>
    <w:p>
      <w:pPr>
        <w:spacing w:after="0" w:line="263"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The Financial Accounting Standards Board (“FASB”) Codification defines fair value, and establishes a fair value hierarchy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i) Level 1 – valuations that are based on quoted prices (unadjusted) in active markets for identical assets or liabilities that the reporting entity has the ability to access at the measurement date; ii) Level 2 – valuations that are based on quoted prices in markets that are not active or for which all significant inputs are observable, either directly or indirectly; and iii) Level 3 – valuations that require inputs that are both significant to the fair value measurement and unobservable.</w:t>
      </w:r>
    </w:p>
    <w:p>
      <w:pPr>
        <w:spacing w:after="0" w:line="204" w:lineRule="exact"/>
        <w:rPr>
          <w:rFonts w:ascii="Arial" w:cs="Arial" w:eastAsia="Arial" w:hAnsi="Arial"/>
          <w:sz w:val="17"/>
          <w:szCs w:val="17"/>
          <w:color w:val="auto"/>
        </w:rPr>
      </w:pPr>
    </w:p>
    <w:p>
      <w:pPr>
        <w:jc w:val="both"/>
        <w:ind w:left="340" w:right="20"/>
        <w:spacing w:after="0" w:line="264" w:lineRule="auto"/>
        <w:rPr>
          <w:rFonts w:ascii="Arial" w:cs="Arial" w:eastAsia="Arial" w:hAnsi="Arial"/>
          <w:sz w:val="17"/>
          <w:szCs w:val="17"/>
          <w:color w:val="auto"/>
        </w:rPr>
      </w:pPr>
      <w:r>
        <w:rPr>
          <w:rFonts w:ascii="Arial" w:cs="Arial" w:eastAsia="Arial" w:hAnsi="Arial"/>
          <w:sz w:val="18"/>
          <w:szCs w:val="18"/>
          <w:color w:val="auto"/>
        </w:rPr>
        <w:t>Cash and cash equivalents, which primarily include money market mutual funds, were $72.5 million and $71.1 million as of March 31, 2013 and December 31, 2012, respectively. We classified our cash equivalents of $67.1 million as of March 31, 2013 and December 31, 2012 within Level 1 of the fair value hierarchy because they are valued using quoted market prices.</w:t>
      </w:r>
    </w:p>
    <w:p>
      <w:pPr>
        <w:spacing w:after="0" w:line="208" w:lineRule="exact"/>
        <w:rPr>
          <w:rFonts w:ascii="Arial" w:cs="Arial" w:eastAsia="Arial" w:hAnsi="Arial"/>
          <w:sz w:val="17"/>
          <w:szCs w:val="17"/>
          <w:color w:val="auto"/>
        </w:rPr>
      </w:pPr>
    </w:p>
    <w:p>
      <w:pPr>
        <w:jc w:val="both"/>
        <w:ind w:left="340"/>
        <w:spacing w:after="0" w:line="286" w:lineRule="auto"/>
        <w:rPr>
          <w:rFonts w:ascii="Arial" w:cs="Arial" w:eastAsia="Arial" w:hAnsi="Arial"/>
          <w:sz w:val="17"/>
          <w:szCs w:val="17"/>
          <w:color w:val="auto"/>
        </w:rPr>
      </w:pPr>
      <w:r>
        <w:rPr>
          <w:rFonts w:ascii="Arial" w:cs="Arial" w:eastAsia="Arial" w:hAnsi="Arial"/>
          <w:sz w:val="17"/>
          <w:szCs w:val="17"/>
          <w:color w:val="auto"/>
        </w:rPr>
        <w:t>Our investments, which consist of high yield corporate debt securities, are also classified within Level 1 of the fair value hierarchy because they are valued using quoted market prices. We categorize our investments as available-for-sale securities, and carry them at fair value in our financial statements. We had $2.1 million and $2.0 million of available-for-sale investments as of March 31, 2013 and December 31, 2012, respectively.</w:t>
      </w:r>
    </w:p>
    <w:p>
      <w:pPr>
        <w:spacing w:after="0" w:line="192"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As of March 31, 2013, our assets that are measured at fair value on a recurring basis and whose carrying values approximate their respective fair values include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6"/>
          </w:tcPr>
          <w:p>
            <w:pPr>
              <w:jc w:val="right"/>
              <w:ind w:right="135"/>
              <w:spacing w:after="0"/>
              <w:rPr>
                <w:sz w:val="20"/>
                <w:szCs w:val="20"/>
                <w:color w:val="auto"/>
              </w:rPr>
            </w:pPr>
            <w:r>
              <w:rPr>
                <w:rFonts w:ascii="Arial" w:cs="Arial" w:eastAsia="Arial" w:hAnsi="Arial"/>
                <w:sz w:val="18"/>
                <w:szCs w:val="18"/>
                <w:color w:val="auto"/>
                <w:w w:val="94"/>
              </w:rPr>
              <w:t>Fair Value Measurement at March 31, 2013 Using:</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60" w:type="dxa"/>
            <w:vAlign w:val="bottom"/>
            <w:gridSpan w:val="2"/>
          </w:tcPr>
          <w:p>
            <w:pPr>
              <w:jc w:val="right"/>
              <w:ind w:right="110"/>
              <w:spacing w:after="0" w:line="201" w:lineRule="exact"/>
              <w:rPr>
                <w:sz w:val="20"/>
                <w:szCs w:val="20"/>
                <w:color w:val="auto"/>
              </w:rPr>
            </w:pPr>
            <w:r>
              <w:rPr>
                <w:rFonts w:ascii="Arial" w:cs="Arial" w:eastAsia="Arial" w:hAnsi="Arial"/>
                <w:sz w:val="18"/>
                <w:szCs w:val="18"/>
                <w:color w:val="auto"/>
                <w:w w:val="93"/>
              </w:rPr>
              <w:t>Quoted Prices in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5"/>
              <w:spacing w:after="0" w:line="201" w:lineRule="exact"/>
              <w:rPr>
                <w:sz w:val="20"/>
                <w:szCs w:val="20"/>
                <w:color w:val="auto"/>
              </w:rPr>
            </w:pPr>
            <w:r>
              <w:rPr>
                <w:rFonts w:ascii="Arial" w:cs="Arial" w:eastAsia="Arial" w:hAnsi="Arial"/>
                <w:sz w:val="18"/>
                <w:szCs w:val="18"/>
                <w:color w:val="auto"/>
              </w:rPr>
              <w:t>Significant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520" w:type="dxa"/>
            <w:vAlign w:val="bottom"/>
            <w:gridSpan w:val="3"/>
          </w:tcPr>
          <w:p>
            <w:pPr>
              <w:ind w:left="2060"/>
              <w:spacing w:after="0"/>
              <w:rPr>
                <w:sz w:val="20"/>
                <w:szCs w:val="20"/>
                <w:color w:val="auto"/>
              </w:rPr>
            </w:pPr>
            <w:r>
              <w:rPr>
                <w:rFonts w:ascii="Arial" w:cs="Arial" w:eastAsia="Arial" w:hAnsi="Arial"/>
                <w:sz w:val="18"/>
                <w:szCs w:val="18"/>
                <w:color w:val="auto"/>
                <w:w w:val="99"/>
              </w:rPr>
              <w:t>Active Markets for</w:t>
            </w: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Significant Other</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1"/>
              </w:rPr>
              <w:t>Unobservable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w w:val="88"/>
              </w:rPr>
              <w:t>Identical Assets</w:t>
            </w: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4"/>
              </w:rPr>
              <w:t>Observable Inputs</w:t>
            </w:r>
          </w:p>
        </w:tc>
        <w:tc>
          <w:tcPr>
            <w:tcW w:w="12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Inputs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line="201" w:lineRule="exact"/>
              <w:rPr>
                <w:sz w:val="20"/>
                <w:szCs w:val="20"/>
                <w:color w:val="auto"/>
              </w:rPr>
            </w:pPr>
            <w:r>
              <w:rPr>
                <w:rFonts w:ascii="Arial" w:cs="Arial" w:eastAsia="Arial" w:hAnsi="Arial"/>
                <w:sz w:val="18"/>
                <w:szCs w:val="18"/>
                <w:color w:val="auto"/>
              </w:rPr>
              <w:t>Corporate debt securities</w:t>
            </w:r>
          </w:p>
        </w:tc>
        <w:tc>
          <w:tcPr>
            <w:tcW w:w="206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2,063</w:t>
            </w:r>
          </w:p>
        </w:tc>
        <w:tc>
          <w:tcPr>
            <w:tcW w:w="12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ind w:right="895"/>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67,068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69,131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9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060" w:type="dxa"/>
            <w:vAlign w:val="bottom"/>
            <w:vMerge w:val="restart"/>
          </w:tcPr>
          <w:p>
            <w:pPr>
              <w:jc w:val="right"/>
              <w:ind w:right="12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0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6" w:name="page7"/>
    <w:bookmarkEnd w:id="6"/>
    <w:p>
      <w:pPr>
        <w:ind w:left="340"/>
        <w:spacing w:after="0" w:line="277" w:lineRule="auto"/>
        <w:rPr>
          <w:sz w:val="20"/>
          <w:szCs w:val="20"/>
          <w:color w:val="auto"/>
        </w:rPr>
      </w:pPr>
      <w:r>
        <w:rPr>
          <w:rFonts w:ascii="Arial" w:cs="Arial" w:eastAsia="Arial" w:hAnsi="Arial"/>
          <w:sz w:val="18"/>
          <w:szCs w:val="18"/>
          <w:color w:val="auto"/>
        </w:rPr>
        <w:t>As of December 31, 2012, our assets that are measured at fair value on a recurring basis and whose carrying values approximate their respective fair values include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0"/>
              </w:rPr>
              <w:t>Fair Value Measurement at December 31, 2012 Using:</w:t>
            </w:r>
          </w:p>
        </w:tc>
        <w:tc>
          <w:tcPr>
            <w:tcW w:w="180" w:type="dxa"/>
            <w:vAlign w:val="bottom"/>
            <w:tcBorders>
              <w:bottom w:val="single" w:sz="8" w:color="auto"/>
            </w:tcBorders>
          </w:tcPr>
          <w:p>
            <w:pPr>
              <w:spacing w:after="0"/>
              <w:rPr>
                <w:sz w:val="20"/>
                <w:szCs w:val="20"/>
                <w:color w:val="auto"/>
              </w:rPr>
            </w:pPr>
          </w:p>
        </w:tc>
      </w:tr>
      <w:tr>
        <w:trPr>
          <w:trHeight w:val="202"/>
        </w:trPr>
        <w:tc>
          <w:tcPr>
            <w:tcW w:w="7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2"/>
          </w:tcPr>
          <w:p>
            <w:pPr>
              <w:jc w:val="right"/>
              <w:ind w:right="110"/>
              <w:spacing w:after="0" w:line="201" w:lineRule="exact"/>
              <w:rPr>
                <w:sz w:val="20"/>
                <w:szCs w:val="20"/>
                <w:color w:val="auto"/>
              </w:rPr>
            </w:pPr>
            <w:r>
              <w:rPr>
                <w:rFonts w:ascii="Arial" w:cs="Arial" w:eastAsia="Arial" w:hAnsi="Arial"/>
                <w:sz w:val="18"/>
                <w:szCs w:val="18"/>
                <w:color w:val="auto"/>
                <w:w w:val="91"/>
              </w:rPr>
              <w:t>Quoted Prices in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5"/>
              <w:spacing w:after="0" w:line="201" w:lineRule="exact"/>
              <w:rPr>
                <w:sz w:val="20"/>
                <w:szCs w:val="20"/>
                <w:color w:val="auto"/>
              </w:rPr>
            </w:pPr>
            <w:r>
              <w:rPr>
                <w:rFonts w:ascii="Arial" w:cs="Arial" w:eastAsia="Arial" w:hAnsi="Arial"/>
                <w:sz w:val="18"/>
                <w:szCs w:val="18"/>
                <w:color w:val="auto"/>
              </w:rPr>
              <w:t>Significant</w:t>
            </w:r>
          </w:p>
        </w:tc>
        <w:tc>
          <w:tcPr>
            <w:tcW w:w="180" w:type="dxa"/>
            <w:vAlign w:val="bottom"/>
          </w:tcPr>
          <w:p>
            <w:pPr>
              <w:spacing w:after="0"/>
              <w:rPr>
                <w:sz w:val="17"/>
                <w:szCs w:val="17"/>
                <w:color w:val="auto"/>
              </w:rPr>
            </w:pPr>
          </w:p>
        </w:tc>
      </w:tr>
      <w:tr>
        <w:trPr>
          <w:trHeight w:val="216"/>
        </w:trPr>
        <w:tc>
          <w:tcPr>
            <w:tcW w:w="708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99"/>
              </w:rPr>
              <w:t>Active Markets for</w:t>
            </w: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Significant Other</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1"/>
              </w:rPr>
              <w:t>Unobservable</w:t>
            </w:r>
          </w:p>
        </w:tc>
        <w:tc>
          <w:tcPr>
            <w:tcW w:w="180" w:type="dxa"/>
            <w:vAlign w:val="bottom"/>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w w:val="88"/>
              </w:rPr>
              <w:t>Identical Assets</w:t>
            </w: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4"/>
              </w:rPr>
              <w:t>Observable Inputs</w:t>
            </w:r>
          </w:p>
        </w:tc>
        <w:tc>
          <w:tcPr>
            <w:tcW w:w="12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Inputs</w:t>
            </w:r>
          </w:p>
        </w:tc>
        <w:tc>
          <w:tcPr>
            <w:tcW w:w="180" w:type="dxa"/>
            <w:vAlign w:val="bottom"/>
          </w:tcPr>
          <w:p>
            <w:pPr>
              <w:spacing w:after="0"/>
              <w:rPr>
                <w:sz w:val="18"/>
                <w:szCs w:val="18"/>
                <w:color w:val="auto"/>
              </w:rPr>
            </w:pPr>
          </w:p>
        </w:tc>
      </w:tr>
      <w:tr>
        <w:trPr>
          <w:trHeight w:val="237"/>
        </w:trPr>
        <w:tc>
          <w:tcPr>
            <w:tcW w:w="7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0"/>
                <w:szCs w:val="20"/>
                <w:color w:val="auto"/>
              </w:rPr>
            </w:pPr>
          </w:p>
        </w:tc>
      </w:tr>
      <w:tr>
        <w:trPr>
          <w:trHeight w:val="202"/>
        </w:trPr>
        <w:tc>
          <w:tcPr>
            <w:tcW w:w="7080" w:type="dxa"/>
            <w:vAlign w:val="bottom"/>
          </w:tcPr>
          <w:p>
            <w:pPr>
              <w:spacing w:after="0" w:line="201" w:lineRule="exact"/>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2,010</w:t>
            </w:r>
          </w:p>
        </w:tc>
        <w:tc>
          <w:tcPr>
            <w:tcW w:w="12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ind w:right="895"/>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w:t>
            </w:r>
          </w:p>
        </w:tc>
      </w:tr>
      <w:tr>
        <w:trPr>
          <w:trHeight w:val="237"/>
        </w:trPr>
        <w:tc>
          <w:tcPr>
            <w:tcW w:w="7080" w:type="dxa"/>
            <w:vAlign w:val="bottom"/>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67,050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216"/>
        </w:trPr>
        <w:tc>
          <w:tcPr>
            <w:tcW w:w="708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69,060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9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r>
      <w:tr>
        <w:trPr>
          <w:trHeight w:val="21"/>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is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2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Net income per share is calculated as follows (in thousands, except per share data):</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03"/>
        </w:trPr>
        <w:tc>
          <w:tcPr>
            <w:tcW w:w="88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w w:val="89"/>
              </w:rPr>
              <w:t>Net income:</w:t>
            </w:r>
          </w:p>
        </w:tc>
        <w:tc>
          <w:tcPr>
            <w:tcW w:w="542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260" w:type="dxa"/>
            <w:vAlign w:val="bottom"/>
            <w:gridSpan w:val="5"/>
          </w:tcPr>
          <w:p>
            <w:pPr>
              <w:ind w:left="80"/>
              <w:spacing w:after="0"/>
              <w:rPr>
                <w:sz w:val="20"/>
                <w:szCs w:val="20"/>
                <w:color w:val="auto"/>
              </w:rPr>
            </w:pPr>
            <w:r>
              <w:rPr>
                <w:rFonts w:ascii="Arial" w:cs="Arial" w:eastAsia="Arial" w:hAnsi="Arial"/>
                <w:sz w:val="18"/>
                <w:szCs w:val="18"/>
                <w:color w:val="auto"/>
              </w:rPr>
              <w:t>Income from continuing</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6"/>
          </w:tcPr>
          <w:p>
            <w:pPr>
              <w:spacing w:after="0"/>
              <w:rPr>
                <w:sz w:val="20"/>
                <w:szCs w:val="20"/>
                <w:color w:val="auto"/>
              </w:rPr>
            </w:pPr>
            <w:r>
              <w:rPr>
                <w:rFonts w:ascii="Arial" w:cs="Arial" w:eastAsia="Arial" w:hAnsi="Arial"/>
                <w:sz w:val="18"/>
                <w:szCs w:val="18"/>
                <w:color w:val="auto"/>
              </w:rPr>
              <w:t>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1,857</w:t>
            </w: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260" w:type="dxa"/>
            <w:vAlign w:val="bottom"/>
            <w:gridSpan w:val="5"/>
          </w:tcPr>
          <w:p>
            <w:pPr>
              <w:ind w:left="80"/>
              <w:spacing w:after="0"/>
              <w:rPr>
                <w:sz w:val="20"/>
                <w:szCs w:val="20"/>
                <w:color w:val="auto"/>
              </w:rPr>
            </w:pPr>
            <w:r>
              <w:rPr>
                <w:rFonts w:ascii="Arial" w:cs="Arial" w:eastAsia="Arial" w:hAnsi="Arial"/>
                <w:sz w:val="18"/>
                <w:szCs w:val="18"/>
                <w:color w:val="auto"/>
              </w:rPr>
              <w:t>Loss from discontinued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gridSpan w:val="6"/>
          </w:tcPr>
          <w:p>
            <w:pPr>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260" w:type="dxa"/>
            <w:vAlign w:val="bottom"/>
            <w:gridSpan w:val="5"/>
          </w:tcPr>
          <w:p>
            <w:pPr>
              <w:ind w:left="3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
        </w:trPr>
        <w:tc>
          <w:tcPr>
            <w:tcW w:w="6300" w:type="dxa"/>
            <w:vAlign w:val="bottom"/>
            <w:gridSpan w:val="6"/>
            <w:vMerge w:val="restart"/>
          </w:tcPr>
          <w:p>
            <w:pPr>
              <w:spacing w:after="0"/>
              <w:rPr>
                <w:sz w:val="20"/>
                <w:szCs w:val="20"/>
                <w:color w:val="auto"/>
              </w:rPr>
            </w:pPr>
            <w:r>
              <w:rPr>
                <w:rFonts w:ascii="Arial" w:cs="Arial" w:eastAsia="Arial" w:hAnsi="Arial"/>
                <w:sz w:val="18"/>
                <w:szCs w:val="18"/>
                <w:color w:val="auto"/>
              </w:rPr>
              <w:t>Shares outstanding:</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300" w:type="dxa"/>
            <w:vAlign w:val="bottom"/>
            <w:gridSpan w:val="6"/>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Pr>
          <w:p>
            <w:pPr>
              <w:spacing w:after="0"/>
              <w:rPr>
                <w:sz w:val="19"/>
                <w:szCs w:val="19"/>
                <w:color w:val="auto"/>
              </w:rPr>
            </w:pPr>
          </w:p>
        </w:tc>
        <w:tc>
          <w:tcPr>
            <w:tcW w:w="6260" w:type="dxa"/>
            <w:vAlign w:val="bottom"/>
            <w:gridSpan w:val="5"/>
          </w:tcPr>
          <w:p>
            <w:pPr>
              <w:ind w:left="8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20,724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260" w:type="dxa"/>
            <w:vAlign w:val="bottom"/>
            <w:gridSpan w:val="5"/>
          </w:tcPr>
          <w:p>
            <w:pPr>
              <w:ind w:left="80"/>
              <w:spacing w:after="0"/>
              <w:rPr>
                <w:sz w:val="20"/>
                <w:szCs w:val="20"/>
                <w:color w:val="auto"/>
              </w:rPr>
            </w:pPr>
            <w:r>
              <w:rPr>
                <w:rFonts w:ascii="Arial" w:cs="Arial" w:eastAsia="Arial" w:hAnsi="Arial"/>
                <w:sz w:val="18"/>
                <w:szCs w:val="18"/>
                <w:color w:val="auto"/>
              </w:rPr>
              <w:t>Additional dilutive common stock</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gridSpan w:val="6"/>
          </w:tcPr>
          <w:p>
            <w:pPr>
              <w:spacing w:after="0"/>
              <w:rPr>
                <w:sz w:val="20"/>
                <w:szCs w:val="20"/>
                <w:color w:val="auto"/>
              </w:rPr>
            </w:pPr>
            <w:r>
              <w:rPr>
                <w:rFonts w:ascii="Arial" w:cs="Arial" w:eastAsia="Arial" w:hAnsi="Arial"/>
                <w:sz w:val="18"/>
                <w:szCs w:val="18"/>
                <w:color w:val="auto"/>
              </w:rPr>
              <w:t>equivalents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260" w:type="dxa"/>
            <w:vAlign w:val="bottom"/>
            <w:gridSpan w:val="5"/>
          </w:tcPr>
          <w:p>
            <w:pPr>
              <w:ind w:left="80"/>
              <w:spacing w:after="0"/>
              <w:rPr>
                <w:sz w:val="20"/>
                <w:szCs w:val="20"/>
                <w:color w:val="auto"/>
              </w:rPr>
            </w:pPr>
            <w:r>
              <w:rPr>
                <w:rFonts w:ascii="Arial" w:cs="Arial" w:eastAsia="Arial" w:hAnsi="Arial"/>
                <w:sz w:val="18"/>
                <w:szCs w:val="18"/>
                <w:color w:val="auto"/>
              </w:rPr>
              <w:t>Diluted shares outstanding</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22,564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260" w:type="dxa"/>
            <w:vAlign w:val="bottom"/>
            <w:gridSpan w:val="5"/>
            <w:vMerge w:val="restart"/>
          </w:tcPr>
          <w:p>
            <w:pPr>
              <w:spacing w:after="0"/>
              <w:rPr>
                <w:sz w:val="20"/>
                <w:szCs w:val="20"/>
                <w:color w:val="auto"/>
              </w:rPr>
            </w:pPr>
            <w:r>
              <w:rPr>
                <w:rFonts w:ascii="Arial" w:cs="Arial" w:eastAsia="Arial" w:hAnsi="Arial"/>
                <w:sz w:val="18"/>
                <w:szCs w:val="18"/>
                <w:color w:val="auto"/>
              </w:rPr>
              <w:t>Basic net income per share:</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626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Pr>
          <w:p>
            <w:pPr>
              <w:spacing w:after="0"/>
              <w:rPr>
                <w:sz w:val="19"/>
                <w:szCs w:val="19"/>
                <w:color w:val="auto"/>
              </w:rPr>
            </w:pPr>
          </w:p>
        </w:tc>
        <w:tc>
          <w:tcPr>
            <w:tcW w:w="6260" w:type="dxa"/>
            <w:vAlign w:val="bottom"/>
            <w:gridSpan w:val="5"/>
          </w:tcPr>
          <w:p>
            <w:pPr>
              <w:ind w:left="140"/>
              <w:spacing w:after="0"/>
              <w:rPr>
                <w:sz w:val="20"/>
                <w:szCs w:val="20"/>
                <w:color w:val="auto"/>
              </w:rPr>
            </w:pPr>
            <w:r>
              <w:rPr>
                <w:rFonts w:ascii="Arial" w:cs="Arial" w:eastAsia="Arial" w:hAnsi="Arial"/>
                <w:sz w:val="18"/>
                <w:szCs w:val="18"/>
                <w:color w:val="auto"/>
              </w:rPr>
              <w:t>Basic net income per share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60" w:type="dxa"/>
            <w:vAlign w:val="bottom"/>
            <w:gridSpan w:val="5"/>
          </w:tcPr>
          <w:p>
            <w:pPr>
              <w:ind w:left="140"/>
              <w:spacing w:after="0"/>
              <w:rPr>
                <w:sz w:val="20"/>
                <w:szCs w:val="20"/>
                <w:color w:val="auto"/>
              </w:rPr>
            </w:pPr>
            <w:r>
              <w:rPr>
                <w:rFonts w:ascii="Arial" w:cs="Arial" w:eastAsia="Arial" w:hAnsi="Arial"/>
                <w:sz w:val="18"/>
                <w:szCs w:val="18"/>
                <w:color w:val="auto"/>
              </w:rPr>
              <w:t>Basic net loss per share from discontinued operations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260" w:type="dxa"/>
            <w:vAlign w:val="bottom"/>
            <w:gridSpan w:val="5"/>
          </w:tcPr>
          <w:p>
            <w:pPr>
              <w:ind w:left="260"/>
              <w:spacing w:after="0"/>
              <w:rPr>
                <w:sz w:val="20"/>
                <w:szCs w:val="20"/>
                <w:color w:val="auto"/>
              </w:rPr>
            </w:pPr>
            <w:r>
              <w:rPr>
                <w:rFonts w:ascii="Arial" w:cs="Arial" w:eastAsia="Arial" w:hAnsi="Arial"/>
                <w:sz w:val="18"/>
                <w:szCs w:val="18"/>
                <w:color w:val="auto"/>
              </w:rPr>
              <w:t>Basic net income per share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260" w:type="dxa"/>
            <w:vAlign w:val="bottom"/>
            <w:gridSpan w:val="5"/>
            <w:vMerge w:val="restart"/>
          </w:tcPr>
          <w:p>
            <w:pPr>
              <w:spacing w:after="0"/>
              <w:rPr>
                <w:sz w:val="20"/>
                <w:szCs w:val="20"/>
                <w:color w:val="auto"/>
              </w:rPr>
            </w:pPr>
            <w:r>
              <w:rPr>
                <w:rFonts w:ascii="Arial" w:cs="Arial" w:eastAsia="Arial" w:hAnsi="Arial"/>
                <w:sz w:val="18"/>
                <w:szCs w:val="18"/>
                <w:color w:val="auto"/>
              </w:rPr>
              <w:t>Diluted net income per share:</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626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gridSpan w:val="4"/>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Pr>
          <w:p>
            <w:pPr>
              <w:spacing w:after="0"/>
              <w:rPr>
                <w:sz w:val="19"/>
                <w:szCs w:val="19"/>
                <w:color w:val="auto"/>
              </w:rPr>
            </w:pPr>
          </w:p>
        </w:tc>
        <w:tc>
          <w:tcPr>
            <w:tcW w:w="6260" w:type="dxa"/>
            <w:vAlign w:val="bottom"/>
            <w:gridSpan w:val="5"/>
          </w:tcPr>
          <w:p>
            <w:pPr>
              <w:ind w:left="140"/>
              <w:spacing w:after="0"/>
              <w:rPr>
                <w:sz w:val="20"/>
                <w:szCs w:val="20"/>
                <w:color w:val="auto"/>
              </w:rPr>
            </w:pPr>
            <w:r>
              <w:rPr>
                <w:rFonts w:ascii="Arial" w:cs="Arial" w:eastAsia="Arial" w:hAnsi="Arial"/>
                <w:sz w:val="18"/>
                <w:szCs w:val="18"/>
                <w:color w:val="auto"/>
              </w:rPr>
              <w:t>Diluted net income per share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60" w:type="dxa"/>
            <w:vAlign w:val="bottom"/>
            <w:gridSpan w:val="5"/>
          </w:tcPr>
          <w:p>
            <w:pPr>
              <w:ind w:left="140"/>
              <w:spacing w:after="0"/>
              <w:rPr>
                <w:sz w:val="20"/>
                <w:szCs w:val="20"/>
                <w:color w:val="auto"/>
              </w:rPr>
            </w:pPr>
            <w:r>
              <w:rPr>
                <w:rFonts w:ascii="Arial" w:cs="Arial" w:eastAsia="Arial" w:hAnsi="Arial"/>
                <w:sz w:val="18"/>
                <w:szCs w:val="18"/>
                <w:color w:val="auto"/>
              </w:rPr>
              <w:t>Diluted net loss per share from discontinued operations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260" w:type="dxa"/>
            <w:vAlign w:val="bottom"/>
            <w:gridSpan w:val="5"/>
          </w:tcPr>
          <w:p>
            <w:pPr>
              <w:ind w:left="260"/>
              <w:spacing w:after="0"/>
              <w:rPr>
                <w:sz w:val="20"/>
                <w:szCs w:val="20"/>
                <w:color w:val="auto"/>
              </w:rPr>
            </w:pPr>
            <w:r>
              <w:rPr>
                <w:rFonts w:ascii="Arial" w:cs="Arial" w:eastAsia="Arial" w:hAnsi="Arial"/>
                <w:sz w:val="18"/>
                <w:szCs w:val="18"/>
                <w:color w:val="auto"/>
              </w:rPr>
              <w:t>Diluted net income per share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three month periods ended March 31, 2013 and 2012, options to purchase 821,838 and 1,720,250 shares of common stock, respectively, were outstanding, but were not included in the computation of diluted EPS because the options’ exercise prices were greater than the average market price of the common stock and thus would be anti-dilutive.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left="340" w:right="6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comprehensive income (in thousands):</w:t>
      </w:r>
    </w:p>
    <w:p>
      <w:pPr>
        <w:spacing w:after="0" w:line="193"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8"/>
              </w:rPr>
              <w:t>March 31,</w:t>
            </w:r>
          </w:p>
        </w:tc>
        <w:tc>
          <w:tcPr>
            <w:tcW w:w="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Cost of services</w:t>
            </w:r>
          </w:p>
        </w:tc>
        <w:tc>
          <w:tcPr>
            <w:tcW w:w="800" w:type="dxa"/>
            <w:vAlign w:val="bottom"/>
            <w:gridSpan w:val="2"/>
          </w:tcPr>
          <w:p>
            <w:pPr>
              <w:jc w:val="right"/>
              <w:ind w:right="643"/>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504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43"/>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21"/>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Stock Option and SAR Grants</w:t>
      </w:r>
      <w:r>
        <w:rPr>
          <w:rFonts w:ascii="Arial" w:cs="Arial" w:eastAsia="Arial" w:hAnsi="Arial"/>
          <w:sz w:val="18"/>
          <w:szCs w:val="18"/>
          <w:color w:val="auto"/>
        </w:rPr>
        <w:t>. We grant stock options and stock appreciation rights (“SARs”) under our 2001 Nonqualified Stock Plan. We estimate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stock options and SARs using the Black-Scholes valuation model. This valuation model takes into account the exercise price of the award, as well as a variety of significant assumptions. The assumptions used to estimate the fair value of stock options and SARs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and SARs. Estimates of fair value are not intended to predict actual future events or the value ultimately realized by persons who receive equity awards.</w:t>
      </w:r>
    </w:p>
    <w:p>
      <w:pPr>
        <w:spacing w:after="0" w:line="2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We also grant unrestricted shares of stock under our 2001 Nonqualified Stock Plan. Stock-based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grants is determined based on the fair market value of our stock on the date of grant; provided the number of shares in the grant is fixed on the grant date.</w:t>
      </w:r>
    </w:p>
    <w:p>
      <w:pPr>
        <w:spacing w:after="0" w:line="20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Stock Option, SAR, and Unrestricted Stock Grant Activity</w:t>
      </w:r>
      <w:r>
        <w:rPr>
          <w:rFonts w:ascii="Arial" w:cs="Arial" w:eastAsia="Arial" w:hAnsi="Arial"/>
          <w:sz w:val="18"/>
          <w:szCs w:val="18"/>
          <w:color w:val="auto"/>
        </w:rPr>
        <w:t>. The following summarizes stock-based grant activity in the three month periods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2013 and 2012.</w:t>
      </w:r>
    </w:p>
    <w:p>
      <w:pPr>
        <w:spacing w:after="0" w:line="197" w:lineRule="exact"/>
        <w:rPr>
          <w:sz w:val="20"/>
          <w:szCs w:val="20"/>
          <w:color w:val="auto"/>
        </w:rPr>
      </w:pPr>
    </w:p>
    <w:p>
      <w:pPr>
        <w:ind w:left="660" w:right="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Stock options and SARS – We granted no stock options for the three month period ended March 31, 2013. For the three month period ended March 31, 2012, we granted 25,000 shares. No SARs were granted in the three month periods ended March 31, 2013 and 2012.</w:t>
      </w:r>
    </w:p>
    <w:p>
      <w:pPr>
        <w:spacing w:after="0" w:line="173"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Unrestricted Stock Grants - In July 2010, we granted 575,443 shares of stock to directors, officers and employees of which 111,163 shares were issued immediately and 464,280 shares were to be issued in four equal increments on December 31, 2010, June 30, 2011, December 31, 2011, and June 30, 2012; provided that grantees remain employed on each of those dates. We expensed $0 and $94,000 of stock-based compensation expense related to these grants in the three month periods ended March 31, 2013 and 2012, respectively.</w:t>
      </w:r>
    </w:p>
    <w:p>
      <w:pPr>
        <w:spacing w:after="0" w:line="198" w:lineRule="exact"/>
        <w:rPr>
          <w:rFonts w:ascii="Arial" w:cs="Arial" w:eastAsia="Arial" w:hAnsi="Arial"/>
          <w:sz w:val="17"/>
          <w:szCs w:val="17"/>
          <w:color w:val="auto"/>
        </w:rPr>
      </w:pPr>
    </w:p>
    <w:p>
      <w:pPr>
        <w:jc w:val="both"/>
        <w:ind w:left="660"/>
        <w:spacing w:after="0" w:line="257" w:lineRule="auto"/>
        <w:rPr>
          <w:rFonts w:ascii="Arial" w:cs="Arial" w:eastAsia="Arial" w:hAnsi="Arial"/>
          <w:sz w:val="17"/>
          <w:szCs w:val="17"/>
          <w:color w:val="auto"/>
        </w:rPr>
      </w:pPr>
      <w:r>
        <w:rPr>
          <w:rFonts w:ascii="Arial" w:cs="Arial" w:eastAsia="Arial" w:hAnsi="Arial"/>
          <w:sz w:val="18"/>
          <w:szCs w:val="18"/>
          <w:color w:val="auto"/>
        </w:rPr>
        <w:t>No shares were issued in connection with the July 2010 stock grant in the three months ended March 31, 2013. In the three months ended March 31, 2012, we issued 76,906 shares to officers and employees who were employed on December 31, 2011. Grantees were allowed to surrender a portion of their stock in return for the Company paying their related withholding taxes. As a result of this provision, grantees surrendered 12,153 shares of common stock and the Company paid approximately $38,000 of withholding taxes on their behalf. After the share surrender, 64,753 net shares of common stock were issued.</w:t>
      </w:r>
    </w:p>
    <w:p>
      <w:pPr>
        <w:spacing w:after="0" w:line="21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April 2013 Unrestricted Stock Grant. </w:t>
      </w:r>
      <w:r>
        <w:rPr>
          <w:rFonts w:ascii="Arial" w:cs="Arial" w:eastAsia="Arial" w:hAnsi="Arial"/>
          <w:sz w:val="18"/>
          <w:szCs w:val="18"/>
          <w:color w:val="auto"/>
        </w:rPr>
        <w:t>On April 2, 2013, the Compensation Committee approved a consent action to grant 130,000 shares of unrestricted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to directors, officers and employees. The shares will be issued in two equal installments on June 30, 2013 and December 31, 2013, provided each grantee is serving as a director, officer or employee on those dates. The total stock-based compensation expense related to this grant is $0.6 million, which will be charged to expense over the remaining quarters of 2013.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Business Segments</w:t>
      </w:r>
      <w:r>
        <w:rPr>
          <w:rFonts w:ascii="Arial" w:cs="Arial" w:eastAsia="Arial" w:hAnsi="Arial"/>
          <w:sz w:val="18"/>
          <w:szCs w:val="18"/>
          <w:color w:val="auto"/>
        </w:rPr>
        <w:t>. We organize ourselves into multiple segments reporting to the chief operating decision makers. The following table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 financial data for the three month periods ended March 31, 2013 and 2012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color w:val="auto"/>
              </w:rPr>
              <w:t>Segments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10"/>
              <w:spacing w:after="0" w:line="201" w:lineRule="exact"/>
              <w:rPr>
                <w:sz w:val="20"/>
                <w:szCs w:val="20"/>
                <w:color w:val="auto"/>
              </w:rPr>
            </w:pPr>
            <w:r>
              <w:rPr>
                <w:rFonts w:ascii="Arial" w:cs="Arial" w:eastAsia="Arial" w:hAnsi="Arial"/>
                <w:sz w:val="18"/>
                <w:szCs w:val="18"/>
                <w:color w:val="auto"/>
                <w:w w:val="99"/>
              </w:rPr>
              <w:t>Biometrics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50"/>
              <w:spacing w:after="0" w:line="201" w:lineRule="exact"/>
              <w:rPr>
                <w:sz w:val="20"/>
                <w:szCs w:val="20"/>
                <w:color w:val="auto"/>
              </w:rPr>
            </w:pPr>
            <w:r>
              <w:rPr>
                <w:rFonts w:ascii="Arial" w:cs="Arial" w:eastAsia="Arial" w:hAnsi="Arial"/>
                <w:sz w:val="18"/>
                <w:szCs w:val="18"/>
                <w:color w:val="auto"/>
                <w:w w:val="91"/>
              </w:rPr>
              <w:t>DSL Service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230"/>
              <w:spacing w:after="0" w:line="201" w:lineRule="exact"/>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&amp; Imaging</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Assurance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7"/>
              </w:rPr>
              <w:t>Corporate</w:t>
            </w:r>
          </w:p>
        </w:tc>
        <w:tc>
          <w:tcPr>
            <w:tcW w:w="100" w:type="dxa"/>
            <w:vAlign w:val="bottom"/>
          </w:tcPr>
          <w:p>
            <w:pPr>
              <w:spacing w:after="0"/>
              <w:rPr>
                <w:sz w:val="20"/>
                <w:szCs w:val="20"/>
                <w:color w:val="auto"/>
              </w:rPr>
            </w:pPr>
          </w:p>
        </w:tc>
        <w:tc>
          <w:tcPr>
            <w:tcW w:w="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3"/>
              </w:rPr>
              <w:t>Company</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0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Three Months Ended March 31, 2013</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4,688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637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418"/>
        </w:trPr>
        <w:tc>
          <w:tcPr>
            <w:tcW w:w="5120" w:type="dxa"/>
            <w:vAlign w:val="bottom"/>
            <w:gridSpan w:val="3"/>
          </w:tcPr>
          <w:p>
            <w:pPr>
              <w:spacing w:after="0"/>
              <w:rPr>
                <w:sz w:val="20"/>
                <w:szCs w:val="20"/>
                <w:color w:val="auto"/>
              </w:rPr>
            </w:pPr>
            <w:r>
              <w:rPr>
                <w:rFonts w:ascii="Arial" w:cs="Arial" w:eastAsia="Arial" w:hAnsi="Arial"/>
                <w:sz w:val="18"/>
                <w:szCs w:val="18"/>
                <w:color w:val="auto"/>
              </w:rPr>
              <w:t>Operating income (loss) before patent related income</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Income from patent arrangement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37"/>
        </w:trPr>
        <w:tc>
          <w:tcPr>
            <w:tcW w:w="51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512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37"/>
        </w:trPr>
        <w:tc>
          <w:tcPr>
            <w:tcW w:w="51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02"/>
        </w:trPr>
        <w:tc>
          <w:tcPr>
            <w:tcW w:w="512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37"/>
        </w:trPr>
        <w:tc>
          <w:tcPr>
            <w:tcW w:w="512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March 31, 2012</w:t>
            </w: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50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3,670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743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418"/>
        </w:trPr>
        <w:tc>
          <w:tcPr>
            <w:tcW w:w="5120" w:type="dxa"/>
            <w:vAlign w:val="bottom"/>
            <w:gridSpan w:val="3"/>
          </w:tcPr>
          <w:p>
            <w:pPr>
              <w:spacing w:after="0"/>
              <w:rPr>
                <w:sz w:val="20"/>
                <w:szCs w:val="20"/>
                <w:color w:val="auto"/>
              </w:rPr>
            </w:pPr>
            <w:r>
              <w:rPr>
                <w:rFonts w:ascii="Arial" w:cs="Arial" w:eastAsia="Arial" w:hAnsi="Arial"/>
                <w:sz w:val="18"/>
                <w:szCs w:val="18"/>
                <w:color w:val="auto"/>
              </w:rPr>
              <w:t>Operating income (loss) before patent related income</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51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512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 before taxes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7"/>
        </w:trPr>
        <w:tc>
          <w:tcPr>
            <w:tcW w:w="51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512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37"/>
        </w:trPr>
        <w:tc>
          <w:tcPr>
            <w:tcW w:w="5120" w:type="dxa"/>
            <w:vAlign w:val="bottom"/>
            <w:gridSpan w:val="3"/>
          </w:tcPr>
          <w:p>
            <w:pPr>
              <w:spacing w:after="0"/>
              <w:rPr>
                <w:sz w:val="20"/>
                <w:szCs w:val="20"/>
                <w:color w:val="auto"/>
              </w:rPr>
            </w:pPr>
            <w:r>
              <w:rPr>
                <w:rFonts w:ascii="Arial" w:cs="Arial" w:eastAsia="Arial" w:hAnsi="Arial"/>
                <w:sz w:val="18"/>
                <w:szCs w:val="18"/>
                <w:color w:val="auto"/>
              </w:rPr>
              <w:t>Loss from discontinued operations, net of tax</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We conduct our operations in the United States and sell our products and services to domestic and international customers. Revenues were generated from the following geographic regions (in thousands):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6"/>
              </w:rPr>
              <w:t>Three Months Ended</w:t>
            </w:r>
          </w:p>
        </w:tc>
      </w:tr>
      <w:tr>
        <w:trPr>
          <w:trHeight w:val="241"/>
        </w:trPr>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Pr>
          <w:p>
            <w:pPr>
              <w:spacing w:after="0"/>
              <w:rPr>
                <w:sz w:val="19"/>
                <w:szCs w:val="19"/>
                <w:color w:val="auto"/>
              </w:rPr>
            </w:pPr>
          </w:p>
        </w:tc>
      </w:tr>
      <w:tr>
        <w:trPr>
          <w:trHeight w:val="418"/>
        </w:trPr>
        <w:tc>
          <w:tcPr>
            <w:tcW w:w="1920" w:type="dxa"/>
            <w:vAlign w:val="bottom"/>
          </w:tcPr>
          <w:p>
            <w:pPr>
              <w:spacing w:after="0"/>
              <w:rPr>
                <w:sz w:val="20"/>
                <w:szCs w:val="20"/>
                <w:color w:val="auto"/>
              </w:rPr>
            </w:pPr>
            <w:r>
              <w:rPr>
                <w:rFonts w:ascii="Arial" w:cs="Arial" w:eastAsia="Arial" w:hAnsi="Arial"/>
                <w:sz w:val="18"/>
                <w:szCs w:val="18"/>
                <w:color w:val="auto"/>
              </w:rPr>
              <w:t>United States</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3,781</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3,099</w:t>
            </w:r>
          </w:p>
        </w:tc>
      </w:tr>
      <w:tr>
        <w:trPr>
          <w:trHeight w:val="237"/>
        </w:trPr>
        <w:tc>
          <w:tcPr>
            <w:tcW w:w="1920" w:type="dxa"/>
            <w:vAlign w:val="bottom"/>
          </w:tcPr>
          <w:p>
            <w:pPr>
              <w:spacing w:after="0"/>
              <w:rPr>
                <w:sz w:val="20"/>
                <w:szCs w:val="20"/>
                <w:color w:val="auto"/>
              </w:rPr>
            </w:pPr>
            <w:r>
              <w:rPr>
                <w:rFonts w:ascii="Arial" w:cs="Arial" w:eastAsia="Arial" w:hAnsi="Arial"/>
                <w:sz w:val="18"/>
                <w:szCs w:val="18"/>
                <w:color w:val="auto"/>
              </w:rPr>
              <w:t>Rest of World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1,805</w:t>
            </w:r>
          </w:p>
        </w:tc>
      </w:tr>
      <w:tr>
        <w:trPr>
          <w:trHeight w:val="216"/>
        </w:trPr>
        <w:tc>
          <w:tcPr>
            <w:tcW w:w="19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5,616</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20" w:type="dxa"/>
            <w:vAlign w:val="bottom"/>
          </w:tcPr>
          <w:p>
            <w:pPr>
              <w:spacing w:after="0"/>
              <w:rPr>
                <w:sz w:val="18"/>
                <w:szCs w:val="18"/>
                <w:color w:val="auto"/>
              </w:rPr>
            </w:pPr>
          </w:p>
        </w:tc>
      </w:tr>
      <w:tr>
        <w:trPr>
          <w:trHeight w:val="21"/>
        </w:trPr>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There were no single foreign countries from which we derived revenue that accounted for 10% or more of our total revenue in the three month periods ended March 31, 2013 and 2012.</w:t>
      </w:r>
    </w:p>
    <w:p>
      <w:pPr>
        <w:spacing w:after="0" w:line="197"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There are no recently issued accounting pronouncements applicable to the Company that have not been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March 31, 2013.</w:t>
      </w:r>
    </w:p>
    <w:p>
      <w:pPr>
        <w:spacing w:after="0" w:line="193" w:lineRule="exact"/>
        <w:rPr>
          <w:rFonts w:ascii="Arial" w:cs="Arial" w:eastAsia="Arial" w:hAnsi="Arial"/>
          <w:sz w:val="18"/>
          <w:szCs w:val="18"/>
          <w:color w:val="auto"/>
        </w:rPr>
      </w:pPr>
    </w:p>
    <w:p>
      <w:pPr>
        <w:jc w:val="both"/>
        <w:ind w:left="34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expense for the three months ended March 31, 2013 was $1.0 million as compared to $2,000 in the prior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Income tax expense for the three months ended March 31, 2013 was based on the U.S. statutory rate of 34%, increased by state income taxes. In the three months ended March 31, 2012, income tax expense was offset by the reversal of the valuation allowance on deferred tax assets, which reduced our tax expense to zero, except for $2,000 of state excise taxes.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both"/>
        <w:ind w:left="340"/>
        <w:spacing w:after="0" w:line="257" w:lineRule="auto"/>
        <w:rPr>
          <w:sz w:val="20"/>
          <w:szCs w:val="20"/>
          <w:color w:val="auto"/>
        </w:rPr>
      </w:pPr>
      <w:r>
        <w:rPr>
          <w:rFonts w:ascii="Arial" w:cs="Arial" w:eastAsia="Arial" w:hAnsi="Arial"/>
          <w:sz w:val="18"/>
          <w:szCs w:val="18"/>
          <w:color w:val="auto"/>
        </w:rPr>
        <w:t>In the three months ended March 31, 2013,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In the three months ended March 31, 2013, the tax benefits from such stock-based awards were $0.8 million, which we recorded as an equity adjustment to additional paid-in capital.</w:t>
      </w:r>
    </w:p>
    <w:p>
      <w:pPr>
        <w:spacing w:after="0" w:line="21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March 31, 2013, we had a total of $1.6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8"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In addition to deferred tax assets carried on our balance sheet, we also had net federal and state research and development credit carryforwards available at December 31, 2012 of $5.1 million and $0.7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$0.8 million equity adjustment to additional paid-in capital in the first quarter of 2013 was related to these deferred tax assets.</w:t>
      </w:r>
    </w:p>
    <w:p>
      <w:pPr>
        <w:spacing w:after="0" w:line="185" w:lineRule="exact"/>
        <w:rPr>
          <w:sz w:val="20"/>
          <w:szCs w:val="20"/>
          <w:color w:val="auto"/>
        </w:rPr>
      </w:pPr>
    </w:p>
    <w:p>
      <w:pPr>
        <w:jc w:val="both"/>
        <w:ind w:left="34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from patent arrangement. </w:t>
      </w:r>
      <w:r>
        <w:rPr>
          <w:rFonts w:ascii="Arial" w:cs="Arial" w:eastAsia="Arial" w:hAnsi="Arial"/>
          <w:sz w:val="18"/>
          <w:szCs w:val="18"/>
          <w:color w:val="auto"/>
        </w:rPr>
        <w:t>We entered into an arrangement with an unaffiliated third party in 2010 under which we assigned patents in return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royalties on proceeds from patent monetization efforts by the third party. In March 2013, we received a royalty statement from this entity and recorded $0.8 million of income in the three months ended March 31, 2013. This amount is included as receivable from patent arrangement on the accompanying consolidated balance sheet.</w:t>
      </w:r>
    </w:p>
    <w:p>
      <w:pPr>
        <w:spacing w:after="0" w:line="214" w:lineRule="exact"/>
        <w:rPr>
          <w:sz w:val="20"/>
          <w:szCs w:val="20"/>
          <w:color w:val="auto"/>
        </w:rPr>
      </w:pPr>
    </w:p>
    <w:p>
      <w:pPr>
        <w:jc w:val="both"/>
        <w:ind w:left="340" w:hanging="332"/>
        <w:spacing w:after="0" w:line="25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In January 2012, our Board of Directors approved the shutdown of our DSL service assurance hardware product line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previously a component of our DSL Service Assurance Segment. We completed the shutdown in 2012 and no longer have any continuing involvement with or cash flows from this product line. The results of our DSL service assurance hardware product line have been included in discontinued operations in the consolidated statements of comprehensive income. The loss from discontinued operations attributable to the DSL service assurance hardware product line was (in thousands):</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7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8"/>
              </w:rPr>
              <w:t>March 31,</w:t>
            </w:r>
          </w:p>
        </w:tc>
        <w:tc>
          <w:tcPr>
            <w:tcW w:w="3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7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20" w:type="dxa"/>
            <w:vAlign w:val="bottom"/>
          </w:tcPr>
          <w:p>
            <w:pPr>
              <w:ind w:left="100"/>
              <w:spacing w:after="0"/>
              <w:rPr>
                <w:sz w:val="20"/>
                <w:szCs w:val="20"/>
                <w:color w:val="auto"/>
              </w:rPr>
            </w:pPr>
            <w:r>
              <w:rPr>
                <w:rFonts w:ascii="Arial" w:cs="Arial" w:eastAsia="Arial" w:hAnsi="Arial"/>
                <w:sz w:val="18"/>
                <w:szCs w:val="18"/>
                <w:color w:val="auto"/>
              </w:rPr>
              <w:t>Revenue</w:t>
            </w:r>
          </w:p>
        </w:tc>
        <w:tc>
          <w:tcPr>
            <w:tcW w:w="740" w:type="dxa"/>
            <w:vAlign w:val="bottom"/>
          </w:tcPr>
          <w:p>
            <w:pPr>
              <w:jc w:val="right"/>
              <w:ind w:right="57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829</w:t>
            </w:r>
          </w:p>
        </w:tc>
      </w:tr>
      <w:tr>
        <w:trPr>
          <w:trHeight w:val="237"/>
        </w:trPr>
        <w:tc>
          <w:tcPr>
            <w:tcW w:w="2720" w:type="dxa"/>
            <w:vAlign w:val="bottom"/>
          </w:tcPr>
          <w:p>
            <w:pPr>
              <w:ind w:left="100"/>
              <w:spacing w:after="0"/>
              <w:rPr>
                <w:sz w:val="20"/>
                <w:szCs w:val="20"/>
                <w:color w:val="auto"/>
              </w:rPr>
            </w:pPr>
            <w:r>
              <w:rPr>
                <w:rFonts w:ascii="Arial" w:cs="Arial" w:eastAsia="Arial" w:hAnsi="Arial"/>
                <w:sz w:val="18"/>
                <w:szCs w:val="18"/>
                <w:color w:val="auto"/>
              </w:rPr>
              <w:t>Expenses</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835</w:t>
            </w:r>
          </w:p>
        </w:tc>
        <w:tc>
          <w:tcPr>
            <w:tcW w:w="60" w:type="dxa"/>
            <w:vAlign w:val="bottom"/>
          </w:tcPr>
          <w:p>
            <w:pPr>
              <w:spacing w:after="0"/>
              <w:rPr>
                <w:sz w:val="20"/>
                <w:szCs w:val="20"/>
                <w:color w:val="auto"/>
              </w:rPr>
            </w:pPr>
          </w:p>
        </w:tc>
      </w:tr>
      <w:tr>
        <w:trPr>
          <w:trHeight w:val="202"/>
        </w:trPr>
        <w:tc>
          <w:tcPr>
            <w:tcW w:w="2720" w:type="dxa"/>
            <w:vAlign w:val="bottom"/>
          </w:tcPr>
          <w:p>
            <w:pPr>
              <w:ind w:left="220"/>
              <w:spacing w:after="0" w:line="201" w:lineRule="exact"/>
              <w:rPr>
                <w:sz w:val="20"/>
                <w:szCs w:val="20"/>
                <w:color w:val="auto"/>
              </w:rPr>
            </w:pPr>
            <w:r>
              <w:rPr>
                <w:rFonts w:ascii="Arial" w:cs="Arial" w:eastAsia="Arial" w:hAnsi="Arial"/>
                <w:sz w:val="18"/>
                <w:szCs w:val="18"/>
                <w:color w:val="auto"/>
              </w:rPr>
              <w:t>Loss before income taxes</w:t>
            </w:r>
          </w:p>
        </w:tc>
        <w:tc>
          <w:tcPr>
            <w:tcW w:w="74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w:t>
            </w:r>
          </w:p>
        </w:tc>
      </w:tr>
      <w:tr>
        <w:trPr>
          <w:trHeight w:val="237"/>
        </w:trPr>
        <w:tc>
          <w:tcPr>
            <w:tcW w:w="2720" w:type="dxa"/>
            <w:vAlign w:val="bottom"/>
          </w:tcPr>
          <w:p>
            <w:pPr>
              <w:ind w:left="100"/>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2720" w:type="dxa"/>
            <w:vAlign w:val="bottom"/>
          </w:tcPr>
          <w:p>
            <w:pPr>
              <w:ind w:left="220"/>
              <w:spacing w:after="0" w:line="201" w:lineRule="exact"/>
              <w:rPr>
                <w:sz w:val="20"/>
                <w:szCs w:val="20"/>
                <w:color w:val="auto"/>
              </w:rPr>
            </w:pPr>
            <w:r>
              <w:rPr>
                <w:rFonts w:ascii="Arial" w:cs="Arial" w:eastAsia="Arial" w:hAnsi="Arial"/>
                <w:sz w:val="18"/>
                <w:szCs w:val="18"/>
                <w:color w:val="auto"/>
              </w:rPr>
              <w:t>Loss from discontinued</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operations</w:t>
            </w:r>
          </w:p>
        </w:tc>
        <w:tc>
          <w:tcPr>
            <w:tcW w:w="740" w:type="dxa"/>
            <w:vAlign w:val="bottom"/>
          </w:tcPr>
          <w:p>
            <w:pPr>
              <w:jc w:val="right"/>
              <w:ind w:right="57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
        </w:trPr>
        <w:tc>
          <w:tcPr>
            <w:tcW w:w="2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consolidated statements of comprehensive income for the three months ended March 31, 2012 have been reclassified to reflect the effect of discontinued operations as set forth above.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2012,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Summary of Operations. </w:t>
      </w:r>
      <w:r>
        <w:rPr>
          <w:rFonts w:ascii="Arial" w:cs="Arial" w:eastAsia="Arial" w:hAnsi="Arial"/>
          <w:sz w:val="18"/>
          <w:szCs w:val="18"/>
          <w:color w:val="auto"/>
        </w:rPr>
        <w:t>Our active business operations are focused on: i) biometrics and imaging software and services; and ii) Digital Subscriber 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(“DSL”) service assurance software and services.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Biometrics &amp; Imaging. </w:t>
      </w:r>
      <w:r>
        <w:rPr>
          <w:rFonts w:ascii="Arial" w:cs="Arial" w:eastAsia="Arial" w:hAnsi="Arial"/>
          <w:sz w:val="17"/>
          <w:szCs w:val="17"/>
          <w:color w:val="auto"/>
        </w:rPr>
        <w:t>Our biometrics products consist of software and services used in biometric systems, and our imaging products consist of software used</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in medical imaging applications. Biometrics systems are used in applications such as law enforcement, border control, national defense, secure credentialing, access control and background checks. We typically sell our biometrics software and services to: i) systems integrators that incorporate our software products into biometrics systems that they are developing on behalf of their customers; ii) OEMs that incorporate our products into their biometrics hardware and software solutions; and iii) directly to government agencies that are deploying biometrics systems. Our imaging software is primarily sold to OEMs and systems integrators that incorporate our software into their medical and imaging products.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DSL Service Assurance. </w:t>
      </w:r>
      <w:r>
        <w:rPr>
          <w:rFonts w:ascii="Arial" w:cs="Arial" w:eastAsia="Arial" w:hAnsi="Arial"/>
          <w:sz w:val="17"/>
          <w:szCs w:val="17"/>
          <w:color w:val="auto"/>
        </w:rPr>
        <w:t>Our DSL service assurance products consist of DSL software products that are used by telephone companies to improve the quality</w:t>
      </w:r>
      <w:r>
        <w:rPr>
          <w:rFonts w:ascii="Arial" w:cs="Arial" w:eastAsia="Arial" w:hAnsi="Arial"/>
          <w:sz w:val="17"/>
          <w:szCs w:val="17"/>
          <w:i w:val="1"/>
          <w:iCs w:val="1"/>
          <w:color w:val="auto"/>
        </w:rPr>
        <w:t xml:space="preserve"> </w:t>
      </w:r>
      <w:r>
        <w:rPr>
          <w:rFonts w:ascii="Arial" w:cs="Arial" w:eastAsia="Arial" w:hAnsi="Arial"/>
          <w:sz w:val="17"/>
          <w:szCs w:val="17"/>
          <w:color w:val="auto"/>
        </w:rPr>
        <w:t>of their DSL service offerings. We sell our DSL service assurance software products through OEMs and directly to telephone companies.</w:t>
      </w:r>
    </w:p>
    <w:p>
      <w:pPr>
        <w:spacing w:after="0" w:line="17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Other Activities. </w:t>
      </w:r>
      <w:r>
        <w:rPr>
          <w:rFonts w:ascii="Arial" w:cs="Arial" w:eastAsia="Arial" w:hAnsi="Arial"/>
          <w:sz w:val="17"/>
          <w:szCs w:val="17"/>
          <w:color w:val="auto"/>
        </w:rPr>
        <w:t>In addition to our core biometrics and imaging and DSL service assurance businesses, we have been involved with other business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have affected our historical financial results and may affect our future financial results. These activities are described below.</w:t>
      </w:r>
    </w:p>
    <w:p>
      <w:pPr>
        <w:spacing w:after="0" w:line="174"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November 2009, we were a supplier of DSL silicon intellectual property to the semiconductor industry. We continue to receive royalties from two customers that use our DSL silicon IP in their DSL chipsets.</w:t>
      </w:r>
    </w:p>
    <w:p>
      <w:pPr>
        <w:spacing w:after="0" w:line="19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entered into an arrangement with an unaffiliated third party in 2010 under which we assigned certain patents in return for royalties on proceeds from patent monetization efforts by the third party. In the three months ended March 31, 2013, we received a royalty statement from this entity and recorded $0.8 million of income from this patent arrangement. There was no such income in the three months ended March 31, 2012. We are unable to predict how much more income we might receive from this arrangement, if any, because we do not know whether any patent monetization efforts by the third party will be successful.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both"/>
        <w:ind w:left="66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January 2012, our Board of Directors approved the shutdown of our DSL service assurance hardware product line which was previously a component of our DSL Service Assurance Segment. We completed the shutdown in 2012 and no longer have any continuing involvement with or cash flows from this product line. The results of our DSL service assurance hardware product line have been reported as discontinued operations. The loss from discontinued operations attributable to the DSL service assurance hardware product line was (in thousands):</w:t>
      </w:r>
    </w:p>
    <w:p>
      <w:pPr>
        <w:spacing w:after="0" w:line="19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7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8"/>
              </w:rPr>
              <w:t>March 31,</w:t>
            </w:r>
          </w:p>
        </w:tc>
        <w:tc>
          <w:tcPr>
            <w:tcW w:w="3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7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20" w:type="dxa"/>
            <w:vAlign w:val="bottom"/>
          </w:tcPr>
          <w:p>
            <w:pPr>
              <w:ind w:left="100"/>
              <w:spacing w:after="0"/>
              <w:rPr>
                <w:sz w:val="20"/>
                <w:szCs w:val="20"/>
                <w:color w:val="auto"/>
              </w:rPr>
            </w:pPr>
            <w:r>
              <w:rPr>
                <w:rFonts w:ascii="Arial" w:cs="Arial" w:eastAsia="Arial" w:hAnsi="Arial"/>
                <w:sz w:val="18"/>
                <w:szCs w:val="18"/>
                <w:color w:val="auto"/>
              </w:rPr>
              <w:t>Revenue</w:t>
            </w:r>
          </w:p>
        </w:tc>
        <w:tc>
          <w:tcPr>
            <w:tcW w:w="740" w:type="dxa"/>
            <w:vAlign w:val="bottom"/>
          </w:tcPr>
          <w:p>
            <w:pPr>
              <w:jc w:val="right"/>
              <w:ind w:right="57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829</w:t>
            </w:r>
          </w:p>
        </w:tc>
      </w:tr>
      <w:tr>
        <w:trPr>
          <w:trHeight w:val="237"/>
        </w:trPr>
        <w:tc>
          <w:tcPr>
            <w:tcW w:w="2720" w:type="dxa"/>
            <w:vAlign w:val="bottom"/>
          </w:tcPr>
          <w:p>
            <w:pPr>
              <w:ind w:left="100"/>
              <w:spacing w:after="0"/>
              <w:rPr>
                <w:sz w:val="20"/>
                <w:szCs w:val="20"/>
                <w:color w:val="auto"/>
              </w:rPr>
            </w:pPr>
            <w:r>
              <w:rPr>
                <w:rFonts w:ascii="Arial" w:cs="Arial" w:eastAsia="Arial" w:hAnsi="Arial"/>
                <w:sz w:val="18"/>
                <w:szCs w:val="18"/>
                <w:color w:val="auto"/>
              </w:rPr>
              <w:t>Expenses</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835</w:t>
            </w:r>
          </w:p>
        </w:tc>
        <w:tc>
          <w:tcPr>
            <w:tcW w:w="60" w:type="dxa"/>
            <w:vAlign w:val="bottom"/>
          </w:tcPr>
          <w:p>
            <w:pPr>
              <w:spacing w:after="0"/>
              <w:rPr>
                <w:sz w:val="20"/>
                <w:szCs w:val="20"/>
                <w:color w:val="auto"/>
              </w:rPr>
            </w:pPr>
          </w:p>
        </w:tc>
      </w:tr>
      <w:tr>
        <w:trPr>
          <w:trHeight w:val="202"/>
        </w:trPr>
        <w:tc>
          <w:tcPr>
            <w:tcW w:w="2720" w:type="dxa"/>
            <w:vAlign w:val="bottom"/>
          </w:tcPr>
          <w:p>
            <w:pPr>
              <w:ind w:left="220"/>
              <w:spacing w:after="0" w:line="201" w:lineRule="exact"/>
              <w:rPr>
                <w:sz w:val="20"/>
                <w:szCs w:val="20"/>
                <w:color w:val="auto"/>
              </w:rPr>
            </w:pPr>
            <w:r>
              <w:rPr>
                <w:rFonts w:ascii="Arial" w:cs="Arial" w:eastAsia="Arial" w:hAnsi="Arial"/>
                <w:sz w:val="18"/>
                <w:szCs w:val="18"/>
                <w:color w:val="auto"/>
              </w:rPr>
              <w:t>Loss before income taxes</w:t>
            </w:r>
          </w:p>
        </w:tc>
        <w:tc>
          <w:tcPr>
            <w:tcW w:w="74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w:t>
            </w:r>
          </w:p>
        </w:tc>
      </w:tr>
      <w:tr>
        <w:trPr>
          <w:trHeight w:val="237"/>
        </w:trPr>
        <w:tc>
          <w:tcPr>
            <w:tcW w:w="2720" w:type="dxa"/>
            <w:vAlign w:val="bottom"/>
          </w:tcPr>
          <w:p>
            <w:pPr>
              <w:ind w:left="100"/>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2720" w:type="dxa"/>
            <w:vAlign w:val="bottom"/>
          </w:tcPr>
          <w:p>
            <w:pPr>
              <w:ind w:left="220"/>
              <w:spacing w:after="0" w:line="201" w:lineRule="exact"/>
              <w:rPr>
                <w:sz w:val="20"/>
                <w:szCs w:val="20"/>
                <w:color w:val="auto"/>
              </w:rPr>
            </w:pPr>
            <w:r>
              <w:rPr>
                <w:rFonts w:ascii="Arial" w:cs="Arial" w:eastAsia="Arial" w:hAnsi="Arial"/>
                <w:sz w:val="18"/>
                <w:szCs w:val="18"/>
                <w:color w:val="auto"/>
              </w:rPr>
              <w:t>Loss from discontinued</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operations</w:t>
            </w:r>
          </w:p>
        </w:tc>
        <w:tc>
          <w:tcPr>
            <w:tcW w:w="740" w:type="dxa"/>
            <w:vAlign w:val="bottom"/>
          </w:tcPr>
          <w:p>
            <w:pPr>
              <w:jc w:val="right"/>
              <w:ind w:right="57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
        </w:trPr>
        <w:tc>
          <w:tcPr>
            <w:tcW w:w="2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2012, we executed on a strategy to monetize a significant portion of our patent portfolio that was unrelated to our biometrics and DSL service assurance product lines. That effort resulted in two significant patent sales in 2012, neither of which affected our consolidated statements of comprehensive income for the three months ended March 31, 2013 and 2012. The majority of the remaining patents in our patent portfolio pertain to our biometrics and imaging and DSL service assurance software product lines. At the current time, we do not intend to pursue patent monetization alternatives for these patents.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from continuing operations for the three months ended March 31, 2013 was $1.9 million, or $0.08 per diluted share, which compares to net income from continuing operations of $1.1 million, or $0.05 per diluted share, for the three months ended March 31, 2012.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Higher net income from continuing operations in three month period ended March 31, 2013 versus the corresponding period in 2012 was primarily a result of:</w:t>
      </w:r>
    </w:p>
    <w:p>
      <w:pPr>
        <w:spacing w:after="0" w:line="46" w:lineRule="exact"/>
        <w:rPr>
          <w:sz w:val="20"/>
          <w:szCs w:val="20"/>
          <w:color w:val="auto"/>
        </w:rPr>
      </w:pPr>
    </w:p>
    <w:p>
      <w:pPr>
        <w:ind w:firstLine="8"/>
        <w:spacing w:after="0" w:line="290" w:lineRule="auto"/>
        <w:tabs>
          <w:tab w:leader="none" w:pos="157"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revenue and profitability in our biometrics and imaging business; ii) $0.8 million of income from a patent arrangement; and iii) lower general and administrative expenses. Increased net income from these items was partially offset by a $1.0 million increase in income tax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Software Licenses. </w:t>
      </w:r>
      <w:r>
        <w:rPr>
          <w:rFonts w:ascii="Arial" w:cs="Arial" w:eastAsia="Arial" w:hAnsi="Arial"/>
          <w:sz w:val="18"/>
          <w:szCs w:val="18"/>
          <w:color w:val="auto"/>
        </w:rPr>
        <w:t>Software licenses were previously included as a component of a revenue category we called “Product Sales.” Software licenses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the sale of software licenses for biometrics and imaging, and DSL service assurance applications.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Software license revenue increased 34% from $2.8 million in the three months ended March 31, 2012 to $3.8 million in the same three month period in 2013. As a percentage of total revenue, software license revenue increased from 58% in the first quarter of 2012 to 68% in the current year quarter. The dollar increase in software license revenue was primarily due to a $1.1 million increase in revenue from the sale of biometrics and imaging software, which was partially offset by a $0.1 million decrease in revenue from the sale of DSL service assurance software.</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biometrics and imaging licenses sales was primarily due to the following factors: i) a large license sale to a U.S. government agency; ii) higher international license sales; and iii) strong license sales to OEM customers. We also believe that our license sales may be benefitting from consolidation in the biometrics industry that has left relatively few U.S. suppliers of biometrics software. We believe the U.S. government and its agencies would prefer to procure biometrics software from U.S. based and owned suppliers, if feasible, because of national security concerns.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$0.1 million decrease in DSL service assurance software license revenue was primarily due to lower license revenue from a telecom supplier that uses our core Dr. DSL technology in its products.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b w:val="1"/>
          <w:bCs w:val="1"/>
          <w:i w:val="1"/>
          <w:iCs w:val="1"/>
          <w:color w:val="auto"/>
        </w:rPr>
        <w:t>Software maintenance</w:t>
      </w:r>
      <w:r>
        <w:rPr>
          <w:rFonts w:ascii="Arial" w:cs="Arial" w:eastAsia="Arial" w:hAnsi="Arial"/>
          <w:sz w:val="17"/>
          <w:szCs w:val="17"/>
          <w:color w:val="auto"/>
        </w:rPr>
        <w:t>. Software maintenance was previously included as a component of a revenue category we called “Product Sales.”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maintenance consists of revenue from the sale of software maintenance contracts for biometrics and imaging, and DSL service assurance software. Software maintenance contracts entitle customers to receive software support and software updates if and when they become available.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Software maintenance revenue increased 18% from $0.9 million in the three months ended March 31, 2012 to $1.0 million in the same three month period in 2013. As a percentage of total revenue, software maintenance revenue increased from 18% in the first quarter of 2012 to 19% in the current year quarter. The dollar increase in software maintenance revenue was primarily due to a $0.1 million increase in revenue from biometrics and imaging maintenance contracts. Revenue from DSL service assurance maintenance contracts was essentially unchanged from the first quarter of 2012.</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revenue from biometrics and imaging maintenance contracts was primarily due to: 1) higher software license sales over the past year which generally include the purchase of software maintenance; and 2) renewals of maintenance contracts sold in prior years.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primarily consist of engineering service fees related to: i) our biometrics and imaging product line; ii) our DSL service assurance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line; and iii) a legacy DSL silicon contract.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decreased 31% from $0.7 million in the three months ended March 31, 2012 to $0.5 million in the same three month period in 2013. As a percentage of total revenue, services decreased from 14% in the first quarter of 2012 to 8% in the current year quarter. The dollar decrease in services sales was primarily due to a $162,000 decrease in revenue from the sale of biometrics engineering services and a $54,000 decrease in revenue from the sale of DSL service assurance services.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decrease in revenue from biometrics engineering services in the three month period ended March 31, 2013 was primarily due to lower revenue from a U.S. government contract. We concluded the second phase of that contract in early February 2013. In late February 2013, we were awarded a follow–on contract to provide equipment and additional engineering services for the next phase of the project. We recorded an insignificant amount of service revenue from that contract in the first quarter of 2013. While we are attempting to grow our biometrics services business, we are unable to predict whether services revenue will trend upward or downward in future periods as we continue to develop this business.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decrease in revenue from DSL service assurance services was primarily due to the cessation of services to a legacy DSL silicon customer. Our DSL engineer who supported this customer since we sold our DSL chip IP business in 2009 resigned during the first quarter of 2013, and we were no longer able to provide engineering support. Service revenue from this customer ranged from $50,000 to $100,000 per quarter in 2012. We received no services revenue from this customer in the first quarter of 2013 nor do we expect to receive services revenue from this customer in future quarters.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Royalties consist of royalty payments we receive under legacy DSL silicon contracts. We receive royalties from DSL silicon customers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to incorporate our silicon IP in their DSL chipsets.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decreased 41% from $491,000 in the three months ended March 31, 2012 to $291,000 in the same three month period in 2013. As a percentage of total revenue, royalties decreased from 10% in the first quarter of 2012 to 5% in the current year quarter.</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dollar decrease in royalties was primarily due to lower DSL royalties from one of our licensees. This licensee achieved chipset sales that exceeded certain sales thresholds in our contractual arrangement. The achievement of those sales thresholds triggered reductions in the royalty rate it is required to pay on certain products and eliminated them altogether on other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therefore believe there is a high likelihood that royalties will continue to decline in future quarters.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consists of engineering costs to complete customer engineering projects. Such costs primarily include: i) engineering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salaries, stock-based compensation, fringe benefits, and facilities; and ii) engineering consultants and contractors.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decreased 38% from $356,000 in the three months ended March 31, 2012 to $221,000 in the same three month period in 2013. Cost of services as a percentage of services decreased from 51% in the first quarter of 2012 to 46% in the current quarter, which means that gross margins on services increased from 49% to 54%.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38% decline in cost of services in the first quarter of 2013 was mainly attributable to a 31% decline in services revenue.</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Research and Development Expense. </w:t>
      </w:r>
      <w:r>
        <w:rPr>
          <w:rFonts w:ascii="Arial" w:cs="Arial" w:eastAsia="Arial" w:hAnsi="Arial"/>
          <w:sz w:val="17"/>
          <w:szCs w:val="17"/>
          <w:color w:val="auto"/>
        </w:rPr>
        <w:t>Research and development expense consists of costs for: i) engineering personnel, including salaries,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fringe benefits, and facilities; ii) engineering consultants and contractors, and iii) other engineering expenses such as supplies, equipment depreciation, dues and memberships and travel. Engineering costs incurred to develop technology, products and patents related to our various product lines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total engineering costs to research and development expense and cost of services was (in thousands):</w:t>
      </w:r>
    </w:p>
    <w:p>
      <w:pPr>
        <w:spacing w:after="0" w:line="248"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6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2012</w:t>
            </w:r>
          </w:p>
        </w:tc>
      </w:tr>
      <w:tr>
        <w:trPr>
          <w:trHeight w:val="418"/>
        </w:trPr>
        <w:tc>
          <w:tcPr>
            <w:tcW w:w="64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1,557</w:t>
            </w: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1,436</w:t>
            </w:r>
          </w:p>
        </w:tc>
      </w:tr>
      <w:tr>
        <w:trPr>
          <w:trHeight w:val="237"/>
        </w:trPr>
        <w:tc>
          <w:tcPr>
            <w:tcW w:w="6440" w:type="dxa"/>
            <w:vAlign w:val="bottom"/>
          </w:tcPr>
          <w:p>
            <w:pPr>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16"/>
        </w:trPr>
        <w:tc>
          <w:tcPr>
            <w:tcW w:w="6440" w:type="dxa"/>
            <w:vAlign w:val="bottom"/>
          </w:tcPr>
          <w:p>
            <w:pPr>
              <w:ind w:left="140"/>
              <w:spacing w:after="0"/>
              <w:rPr>
                <w:sz w:val="20"/>
                <w:szCs w:val="20"/>
                <w:color w:val="auto"/>
              </w:rPr>
            </w:pPr>
            <w:r>
              <w:rPr>
                <w:rFonts w:ascii="Arial" w:cs="Arial" w:eastAsia="Arial" w:hAnsi="Arial"/>
                <w:sz w:val="18"/>
                <w:szCs w:val="18"/>
                <w:color w:val="auto"/>
              </w:rPr>
              <w:t>Total engineering costs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r>
      <w:tr>
        <w:trPr>
          <w:trHeight w:val="21"/>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increased 8% from $1.4 million in the three months ended March 31, 2012 to $1.6 million in the same three month period in 2013. As a percentage of total revenue, research and development expense decreased from 29% in the first quarter of 2012 to 28% in the corresponding period of 2013.</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the table immediately above indicates, total engineering costs in the first quarter of 2013 were essentially unchanged from the prior year quarter. The $121,000 increase in research and development expense in the first quarter of 2013 was primarily due to a lower allocation of engineering costs to cost of services in the current quarter. The reason for the lower allocation to cost of services was mainly attributable to a decline in services revenue.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Unchanged total engineering costs primarily reflects slightly higher spending in our biometrics and DSL service assurance engineering organizations, which was offset by lower spending for a former engineering employee who was involved with patent development and prosecution.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Our research and development activities are focused primarily on developing biometrics and imaging software, and DSL service assurance software.</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Sales and marketing expense was essentially unchanged at $1.1 million for the three months ended March 31, 2012 and 2013. As a percentage of total revenue, sales and marketing expense decreased from 22% in the first quarter of 2012 to 19% in the corresponding period of 2013.</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spacing w:after="0" w:line="302" w:lineRule="auto"/>
        <w:rPr>
          <w:sz w:val="20"/>
          <w:szCs w:val="20"/>
          <w:color w:val="auto"/>
        </w:rPr>
      </w:pPr>
      <w:r>
        <w:rPr>
          <w:rFonts w:ascii="Arial" w:cs="Arial" w:eastAsia="Arial" w:hAnsi="Arial"/>
          <w:sz w:val="16"/>
          <w:szCs w:val="16"/>
          <w:color w:val="auto"/>
        </w:rPr>
        <w:t>Unchanged sales and marketing expense in the first quarter of 2013 primarily reflects two sets of offsetting factors. Sales and marketing expense increased due to $221,000 of expense growth in our biometrics sales organization. Higher biometrics sales spending was driven by new sales employees, new foreign sales agents and higher sales commissions. Expense increases from biometrics sales were offset by: i) lower expenses for a former employee who was involved with the effort to monetize patents in 2012; and ii) slightly lower sales expenses in our DSL service assurance sales organization.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decreased 26% from $1.0 million in the three months ended March 31, 2012 to $0.7 million in the same three month period in 2013. As a percentage of total revenue, general and administrative expense decreased from 20% in the first quarter of 2012 to 13% in the current year quarter.</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$254,000 decrease in general and administrative expense in the first quarter of 2013 was primarily due to lower spending on: i) expenses related to the filing of patents; ii) legal fees related to the 2012 patent monetization effort; and iii) general corporate legal fees. We expect that legal and other expenses related to patents will be lower in 2013 versus the previous year as a result of patent sales in 2012.</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 will increase by approximately $170,000 per quarter over the remaining three quarters of 2013 as a result of an unrestricted stock award to directors and officers that the Compensation Committee authorized on April 2, 2013.</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Income from Patent Arrangement. </w:t>
      </w:r>
      <w:r>
        <w:rPr>
          <w:rFonts w:ascii="Arial" w:cs="Arial" w:eastAsia="Arial" w:hAnsi="Arial"/>
          <w:sz w:val="18"/>
          <w:szCs w:val="18"/>
          <w:color w:val="auto"/>
        </w:rPr>
        <w:t>In December 2010, we entered into an arrangement with an unaffiliated third party under which we assigned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patents in return for royalties on proceeds from patent monetization efforts by the third party. In the three months ended March 31, 2013, we received a royalty statement from this entity and recorded $0.8 million of income from this patent arrangement. There was no such income in the three months ended March 31, 2012. We are unable to predict how much more income we might receive from this arrangement, if any, because we do not know whether any patent monetization efforts by the third party will be successful</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We recorded $26,000 of other income in the three month period ended March 31, 2012. This amount represented realized gains on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 yield bond investments during that quarter. There were no such gains in the three month period ended March 31, 2013.</w:t>
      </w:r>
    </w:p>
    <w:p>
      <w:pPr>
        <w:spacing w:after="0" w:line="17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increased 58% from $52,000 in three months ended March 31, 2012 to $82,000 in the same three month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The dollar increase was primarily due: i) interest income from high yield bonds; and ii) higher cash balances as a result of the patent sales in 2012.</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expense for the three months ended March 31, 2013 was $1.0 million as compared to $2,000 in the prior year quarter.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for the three months ended March 31, 2013 was based on the U.S. statutory rate of 34%, increased by state income taxes. In the three months ended March 31, 2012, income tax expense was offset by the reversal of the valuation allowance on deferred tax assets, which reduced our tax expense to zero, except for $2,000 of state excise taxes.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three months ended March 31, 2013,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In the three months ended March 31, 2013, the tax benefits from such stock-based awards were $0.8 million, which we recorded as an equity adjustment to additional paid-in capital.</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As of March 31, 2013, we had a total of $1.6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deferred tax assets carried on our balance sheet, we also had net federal and state research and development credit carryforwards available at December 31, 2012 of $5.1 million and $0.7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$0.8 million equity adjustment to additional paid-in capital in the first quarter of 2013 was related to these deferred tax assets.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Loss from discontinued operations. </w:t>
      </w:r>
      <w:r>
        <w:rPr>
          <w:rFonts w:ascii="Arial" w:cs="Arial" w:eastAsia="Arial" w:hAnsi="Arial"/>
          <w:sz w:val="18"/>
          <w:szCs w:val="18"/>
          <w:color w:val="auto"/>
        </w:rPr>
        <w:t>Loss from discontinued operations reflects operating results from our DSL service assurance hardware product line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shutdown during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2013, we had cash and cash equivalents of $72.5 million, which represented an increase of $1.4 million from December 31, 2012. The increase in cash was primarily due to $0.6 million of cash provided by operations and $0.9 million of cash provided by financing activities. Cash from these two sources was partially offset by $70,000 used to purchase capital equipment.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financing activities consisted of: i) $0.84 million of excess tax benefits from stock-based compensation; and ii) $20,000 of proceeds from the exercise of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Capital spending was primarily related to the purchase of computer hardware used principally in engineering activities.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F to our Consolidated Financial Statements in Item 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at March 31, 2013 consisted of two elements:</w:t>
      </w:r>
    </w:p>
    <w:p>
      <w:pPr>
        <w:spacing w:after="0" w:line="197" w:lineRule="exact"/>
        <w:rPr>
          <w:sz w:val="20"/>
          <w:szCs w:val="20"/>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March 31, 2013, our cash and cash equivalents of $72.5 million were primarily invested in money market funds. The</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funds were invested in high quality, short term financial instruments. Due to the nature, short duration, and professional management of these funds, we do not expect that a general increase in interest rates would result in any material loss.</w:t>
      </w:r>
    </w:p>
    <w:p>
      <w:pPr>
        <w:spacing w:after="0" w:line="208"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March 31, 2013, our investments of $2.1 million were invested in high yield bonds with two separate corporate debt issuers, both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mature in 2015. While we are exposed to default risk, the high current yield of these bonds largely mitigates interest rate risk. Therefore, due to the high current yield and approximate three-year life of these instruments, we do not believe that a general increase in interest rates would result in any material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financial instruments for speculative or trading purposes.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2012,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co-Chief Executive Officer pursuant to Section 302 of the Sarbanes-Oxley Act of 2002.</w:t>
      </w:r>
    </w:p>
    <w:p>
      <w:pPr>
        <w:spacing w:after="0" w:line="252" w:lineRule="exact"/>
        <w:rPr>
          <w:sz w:val="20"/>
          <w:szCs w:val="20"/>
          <w:color w:val="auto"/>
        </w:rPr>
      </w:pPr>
    </w:p>
    <w:p>
      <w:pPr>
        <w:jc w:val="both"/>
        <w:ind w:left="2040" w:right="20" w:hanging="1458"/>
        <w:spacing w:after="0" w:line="277" w:lineRule="auto"/>
        <w:tabs>
          <w:tab w:leader="none" w:pos="20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97"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52" w:lineRule="exact"/>
        <w:rPr>
          <w:sz w:val="20"/>
          <w:szCs w:val="20"/>
          <w:color w:val="auto"/>
        </w:rPr>
      </w:pPr>
    </w:p>
    <w:p>
      <w:pPr>
        <w:jc w:val="both"/>
        <w:ind w:left="2040" w:hanging="1458"/>
        <w:spacing w:after="0" w:line="257" w:lineRule="auto"/>
        <w:tabs>
          <w:tab w:leader="none" w:pos="20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The following financial statements from Aware, Inc.’s Quarterly Report on Form 10-Q for the quarter ended March 31, 2013, formatted in XBRL (eXtensible Business Reporting Language), as follows: (i) Consolidated Balance Sheets as of March 31, 2013 and December 31, 2012, (ii) Consolidated Statements of Comprehensive Income for the Three Months Ended March 31, 2013 and March 31, 2012, (iii) Consolidated Statements of Cash Flows for the Three Months Ended March 31, 2013 and March 31, 2012, and (iv) Notes to Consolidated Financial Statements.</w:t>
      </w:r>
    </w:p>
    <w:p>
      <w:pPr>
        <w:spacing w:after="0" w:line="215" w:lineRule="exact"/>
        <w:rPr>
          <w:sz w:val="20"/>
          <w:szCs w:val="20"/>
          <w:color w:val="auto"/>
        </w:rPr>
      </w:pPr>
    </w:p>
    <w:p>
      <w:pPr>
        <w:ind w:firstLine="8"/>
        <w:spacing w:after="0" w:line="342" w:lineRule="auto"/>
        <w:tabs>
          <w:tab w:leader="none" w:pos="1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in Exhibit 101 hereto shall not be deemed filed for purposes of Sections 11 or 12 of the Securities Act of 1933, as amended, or Section 18 of the Securities Exchange Act of 1934, as amended, or otherwise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147066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AWARE, INC.</w:t>
      </w:r>
    </w:p>
    <w:p>
      <w:pPr>
        <w:spacing w:after="0" w:line="229" w:lineRule="exact"/>
        <w:rPr>
          <w:sz w:val="20"/>
          <w:szCs w:val="20"/>
          <w:color w:val="auto"/>
        </w:rPr>
      </w:pPr>
    </w:p>
    <w:p>
      <w:pPr>
        <w:ind w:left="640"/>
        <w:spacing w:after="0"/>
        <w:tabs>
          <w:tab w:leader="none" w:pos="5720" w:val="left"/>
        </w:tabs>
        <w:rPr>
          <w:sz w:val="20"/>
          <w:szCs w:val="20"/>
          <w:color w:val="auto"/>
        </w:rPr>
      </w:pPr>
      <w:r>
        <w:rPr>
          <w:rFonts w:ascii="Arial" w:cs="Arial" w:eastAsia="Arial" w:hAnsi="Arial"/>
          <w:sz w:val="18"/>
          <w:szCs w:val="18"/>
          <w:color w:val="auto"/>
        </w:rPr>
        <w:t>Date: April 29, 2013</w:t>
      </w:r>
      <w:r>
        <w:rPr>
          <w:sz w:val="20"/>
          <w:szCs w:val="20"/>
          <w:color w:val="auto"/>
        </w:rPr>
        <w:tab/>
      </w:r>
      <w:r>
        <w:rPr>
          <w:rFonts w:ascii="Arial" w:cs="Arial" w:eastAsia="Arial" w:hAnsi="Arial"/>
          <w:sz w:val="16"/>
          <w:szCs w:val="16"/>
          <w:color w:val="auto"/>
        </w:rPr>
        <w:t>By: /s/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8783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General Counsel</w:t>
      </w:r>
    </w:p>
    <w:p>
      <w:pPr>
        <w:spacing w:after="0" w:line="238" w:lineRule="exact"/>
        <w:rPr>
          <w:sz w:val="20"/>
          <w:szCs w:val="20"/>
          <w:color w:val="auto"/>
        </w:rPr>
      </w:pPr>
    </w:p>
    <w:p>
      <w:pPr>
        <w:ind w:left="640"/>
        <w:spacing w:after="0"/>
        <w:tabs>
          <w:tab w:leader="none" w:pos="5720" w:val="left"/>
        </w:tabs>
        <w:rPr>
          <w:sz w:val="20"/>
          <w:szCs w:val="20"/>
          <w:color w:val="auto"/>
        </w:rPr>
      </w:pPr>
      <w:r>
        <w:rPr>
          <w:rFonts w:ascii="Arial" w:cs="Arial" w:eastAsia="Arial" w:hAnsi="Arial"/>
          <w:sz w:val="18"/>
          <w:szCs w:val="18"/>
          <w:color w:val="auto"/>
        </w:rPr>
        <w:t>Date: April 29, 2013</w:t>
      </w:r>
      <w:r>
        <w:rPr>
          <w:sz w:val="20"/>
          <w:szCs w:val="20"/>
          <w:color w:val="auto"/>
        </w:rPr>
        <w:tab/>
      </w:r>
      <w:r>
        <w:rPr>
          <w:rFonts w:ascii="Arial" w:cs="Arial" w:eastAsia="Arial" w:hAnsi="Arial"/>
          <w:sz w:val="16"/>
          <w:szCs w:val="16"/>
          <w:color w:val="auto"/>
        </w:rPr>
        <w:t>By: /s/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8783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13"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240" w:hanging="644"/>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240" w:right="140" w:hanging="644"/>
        <w:spacing w:after="0" w:line="264"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240" w:right="300" w:hanging="644"/>
        <w:spacing w:after="0" w:line="264"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240" w:right="20" w:hanging="644"/>
        <w:spacing w:after="0" w:line="264"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740" w:right="40" w:hanging="495"/>
        <w:spacing w:after="0" w:line="286" w:lineRule="auto"/>
        <w:tabs>
          <w:tab w:leader="none" w:pos="17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740" w:right="140" w:hanging="495"/>
        <w:spacing w:after="0" w:line="264" w:lineRule="auto"/>
        <w:tabs>
          <w:tab w:leader="none" w:pos="1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740" w:right="280" w:hanging="495"/>
        <w:spacing w:after="0" w:line="264" w:lineRule="auto"/>
        <w:tabs>
          <w:tab w:leader="none" w:pos="1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740" w:hanging="495"/>
        <w:spacing w:after="0" w:line="286" w:lineRule="auto"/>
        <w:tabs>
          <w:tab w:leader="none" w:pos="17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240" w:right="580" w:hanging="644"/>
        <w:spacing w:after="0" w:line="264"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740" w:right="200" w:hanging="495"/>
        <w:spacing w:after="0" w:line="342" w:lineRule="auto"/>
        <w:tabs>
          <w:tab w:leader="none" w:pos="17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740" w:right="480" w:hanging="495"/>
        <w:spacing w:after="0" w:line="277" w:lineRule="auto"/>
        <w:tabs>
          <w:tab w:leader="none" w:pos="1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Date: April 29, 2013</w:t>
      </w:r>
      <w:r>
        <w:rPr>
          <w:sz w:val="20"/>
          <w:szCs w:val="20"/>
          <w:color w:val="auto"/>
        </w:rPr>
        <w:tab/>
      </w:r>
      <w:r>
        <w:rPr>
          <w:rFonts w:ascii="Arial" w:cs="Arial" w:eastAsia="Arial" w:hAnsi="Arial"/>
          <w:sz w:val="16"/>
          <w:szCs w:val="16"/>
          <w:color w:val="auto"/>
        </w:rPr>
        <w:t>/s/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14605</wp:posOffset>
            </wp:positionV>
            <wp:extent cx="17322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co-Chief Executive Officer &amp; co-President</w:t>
      </w:r>
    </w:p>
    <w:p>
      <w:pPr>
        <w:sectPr>
          <w:pgSz w:w="11900" w:h="16838" w:orient="portrait"/>
          <w:cols w:equalWidth="0" w:num="1">
            <w:col w:w="11360"/>
          </w:cols>
          <w:pgMar w:left="300" w:top="256"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April 29, 2013</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56"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March 31, 2013,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/s/  Kevin T. Russell</w:t>
            </w:r>
          </w:p>
        </w:tc>
        <w:tc>
          <w:tcPr>
            <w:tcW w:w="6140" w:type="dxa"/>
            <w:vAlign w:val="bottom"/>
            <w:gridSpan w:val="2"/>
          </w:tcPr>
          <w:p>
            <w:pPr>
              <w:ind w:left="2740"/>
              <w:spacing w:after="0"/>
              <w:rPr>
                <w:sz w:val="20"/>
                <w:szCs w:val="20"/>
                <w:color w:val="auto"/>
              </w:rPr>
            </w:pPr>
            <w:r>
              <w:rPr>
                <w:rFonts w:ascii="Arial" w:cs="Arial" w:eastAsia="Arial" w:hAnsi="Arial"/>
                <w:sz w:val="18"/>
                <w:szCs w:val="18"/>
                <w:color w:val="auto"/>
              </w:rPr>
              <w:t>/s/  Richard P. Moberg</w:t>
            </w:r>
          </w:p>
        </w:tc>
      </w:tr>
      <w:tr>
        <w:trPr>
          <w:trHeight w:val="202"/>
        </w:trPr>
        <w:tc>
          <w:tcPr>
            <w:tcW w:w="3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co-Chief Executive Officer &amp; co-President</w:t>
            </w:r>
          </w:p>
        </w:tc>
        <w:tc>
          <w:tcPr>
            <w:tcW w:w="2740" w:type="dxa"/>
            <w:vAlign w:val="bottom"/>
          </w:tcPr>
          <w:p>
            <w:pPr>
              <w:spacing w:after="0"/>
              <w:rPr>
                <w:sz w:val="17"/>
                <w:szCs w:val="17"/>
                <w:color w:val="auto"/>
              </w:rPr>
            </w:pPr>
          </w:p>
        </w:tc>
        <w:tc>
          <w:tcPr>
            <w:tcW w:w="3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co-Chief Executive Officer &amp; co-President</w:t>
            </w:r>
          </w:p>
        </w:tc>
      </w:tr>
      <w:tr>
        <w:trPr>
          <w:trHeight w:val="230"/>
        </w:trPr>
        <w:tc>
          <w:tcPr>
            <w:tcW w:w="3340" w:type="dxa"/>
            <w:vAlign w:val="bottom"/>
          </w:tcPr>
          <w:p>
            <w:pPr>
              <w:spacing w:after="0"/>
              <w:rPr>
                <w:sz w:val="20"/>
                <w:szCs w:val="20"/>
                <w:color w:val="auto"/>
              </w:rPr>
            </w:pPr>
          </w:p>
        </w:tc>
        <w:tc>
          <w:tcPr>
            <w:tcW w:w="6140" w:type="dxa"/>
            <w:vAlign w:val="bottom"/>
            <w:gridSpan w:val="2"/>
          </w:tcPr>
          <w:p>
            <w:pPr>
              <w:ind w:left="2740"/>
              <w:spacing w:after="0"/>
              <w:rPr>
                <w:sz w:val="20"/>
                <w:szCs w:val="20"/>
                <w:color w:val="auto"/>
              </w:rPr>
            </w:pPr>
            <w:r>
              <w:rPr>
                <w:rFonts w:ascii="Arial" w:cs="Arial" w:eastAsia="Arial" w:hAnsi="Arial"/>
                <w:sz w:val="18"/>
                <w:szCs w:val="18"/>
                <w:color w:val="auto"/>
              </w:rPr>
              <w:t>Chief Financial Officer</w:t>
            </w:r>
          </w:p>
        </w:tc>
      </w:tr>
      <w:tr>
        <w:trPr>
          <w:trHeight w:val="459"/>
        </w:trPr>
        <w:tc>
          <w:tcPr>
            <w:tcW w:w="3340" w:type="dxa"/>
            <w:vAlign w:val="bottom"/>
          </w:tcPr>
          <w:p>
            <w:pPr>
              <w:ind w:left="60"/>
              <w:spacing w:after="0"/>
              <w:rPr>
                <w:sz w:val="20"/>
                <w:szCs w:val="20"/>
                <w:color w:val="auto"/>
              </w:rPr>
            </w:pPr>
            <w:r>
              <w:rPr>
                <w:rFonts w:ascii="Arial" w:cs="Arial" w:eastAsia="Arial" w:hAnsi="Arial"/>
                <w:sz w:val="18"/>
                <w:szCs w:val="18"/>
                <w:color w:val="auto"/>
              </w:rPr>
              <w:t>Date: April 29, 2013</w:t>
            </w:r>
          </w:p>
        </w:tc>
        <w:tc>
          <w:tcPr>
            <w:tcW w:w="6140" w:type="dxa"/>
            <w:vAlign w:val="bottom"/>
            <w:gridSpan w:val="2"/>
          </w:tcPr>
          <w:p>
            <w:pPr>
              <w:ind w:left="2080"/>
              <w:spacing w:after="0"/>
              <w:rPr>
                <w:sz w:val="20"/>
                <w:szCs w:val="20"/>
                <w:color w:val="auto"/>
              </w:rPr>
            </w:pPr>
            <w:r>
              <w:rPr>
                <w:rFonts w:ascii="Arial" w:cs="Arial" w:eastAsia="Arial" w:hAnsi="Arial"/>
                <w:sz w:val="18"/>
                <w:szCs w:val="18"/>
                <w:color w:val="auto"/>
              </w:rPr>
              <w:t>Date: April 29, 2013</w:t>
            </w: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1"/>
    </w:lvl>
  </w:abstractNum>
  <w:abstractNum w:abstractNumId="1">
    <w:nsid w:val="12200854"/>
    <w:multiLevelType w:val="hybridMultilevel"/>
    <w:lvl w:ilvl="0">
      <w:lvlJc w:val="left"/>
      <w:lvlText w:val="%1)"/>
      <w:numFmt w:val="upperLetter"/>
      <w:start w:val="3"/>
    </w:lvl>
  </w:abstractNum>
  <w:abstractNum w:abstractNumId="2">
    <w:nsid w:val="4DB127F8"/>
    <w:multiLevelType w:val="hybridMultilevel"/>
    <w:lvl w:ilvl="0">
      <w:lvlJc w:val="left"/>
      <w:lvlText w:val="%1)"/>
      <w:numFmt w:val="upperLetter"/>
      <w:start w:val="4"/>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upperLetter"/>
      <w:start w:val="5"/>
    </w:lvl>
  </w:abstractNum>
  <w:abstractNum w:abstractNumId="5">
    <w:nsid w:val="1190CDE7"/>
    <w:multiLevelType w:val="hybridMultilevel"/>
    <w:lvl w:ilvl="0">
      <w:lvlJc w:val="left"/>
      <w:lvlText w:val="%1)"/>
      <w:numFmt w:val="upperLetter"/>
      <w:start w:val="6"/>
    </w:lvl>
  </w:abstractNum>
  <w:abstractNum w:abstractNumId="6">
    <w:nsid w:val="66EF438D"/>
    <w:multiLevelType w:val="hybridMultilevel"/>
    <w:lvl w:ilvl="0">
      <w:lvlJc w:val="left"/>
      <w:lvlText w:val="%1)"/>
      <w:numFmt w:val="upperLetter"/>
      <w:start w:val="8"/>
    </w:lvl>
  </w:abstractNum>
  <w:abstractNum w:abstractNumId="7">
    <w:nsid w:val="140E0F76"/>
    <w:multiLevelType w:val="hybridMultilevel"/>
    <w:lvl w:ilvl="0">
      <w:lvlJc w:val="left"/>
      <w:lvlText w:val="(%1)"/>
      <w:numFmt w:val="upperLetter"/>
      <w:start w:val="9"/>
    </w:lvl>
  </w:abstractNum>
  <w:abstractNum w:abstractNumId="8">
    <w:nsid w:val="3352255A"/>
    <w:multiLevelType w:val="hybridMultilevel"/>
    <w:lvl w:ilvl="0">
      <w:lvlJc w:val="left"/>
      <w:lvlText w:val="%1)"/>
      <w:numFmt w:val="lowerRoman"/>
      <w:start w:val="1"/>
    </w:lvl>
  </w:abstractNum>
  <w:abstractNum w:abstractNumId="9">
    <w:nsid w:val="109CF92E"/>
    <w:multiLevelType w:val="hybridMultilevel"/>
    <w:lvl w:ilvl="0">
      <w:lvlJc w:val="left"/>
      <w:lvlText w:val="%1)"/>
      <w:numFmt w:val="lowerRoman"/>
      <w:start w:val="3"/>
    </w:lvl>
  </w:abstractNum>
  <w:abstractNum w:abstractNumId="10">
    <w:nsid w:val="DED7263"/>
    <w:multiLevelType w:val="hybridMultilevel"/>
    <w:lvl w:ilvl="0">
      <w:lvlJc w:val="left"/>
      <w:lvlText w:val="%1)"/>
      <w:numFmt w:val="lowerRoman"/>
      <w:start w:val="4"/>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2019-12-06T16:10:18Z</dcterms:created>
  <dcterms:modified xsi:type="dcterms:W3CDTF">2019-12-06T16:10:18Z</dcterms:modified>
</cp:coreProperties>
</file>