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218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9"/>
              </w:rPr>
              <w:t>Massachusetts</w:t>
            </w:r>
          </w:p>
        </w:tc>
        <w:tc>
          <w:tcPr>
            <w:tcW w:w="1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04-2911026</w:t>
            </w:r>
          </w:p>
        </w:tc>
        <w:tc>
          <w:tcPr>
            <w:tcW w:w="820" w:type="dxa"/>
            <w:vAlign w:val="bottom"/>
          </w:tcPr>
          <w:p>
            <w:pPr>
              <w:spacing w:after="0"/>
              <w:rPr>
                <w:sz w:val="20"/>
                <w:szCs w:val="20"/>
                <w:color w:val="auto"/>
              </w:rPr>
            </w:pPr>
          </w:p>
        </w:tc>
      </w:tr>
      <w:tr>
        <w:trPr>
          <w:trHeight w:val="202"/>
        </w:trPr>
        <w:tc>
          <w:tcPr>
            <w:tcW w:w="480" w:type="dxa"/>
            <w:vAlign w:val="bottom"/>
          </w:tcPr>
          <w:p>
            <w:pPr>
              <w:ind w:left="20"/>
              <w:spacing w:after="0" w:line="201" w:lineRule="exact"/>
              <w:rPr>
                <w:sz w:val="20"/>
                <w:szCs w:val="20"/>
                <w:color w:val="auto"/>
              </w:rPr>
            </w:pPr>
            <w:r>
              <w:rPr>
                <w:rFonts w:ascii="Arial" w:cs="Arial" w:eastAsia="Arial" w:hAnsi="Arial"/>
                <w:sz w:val="18"/>
                <w:szCs w:val="18"/>
                <w:color w:val="auto"/>
                <w:w w:val="91"/>
              </w:rPr>
              <w:t>(State</w:t>
            </w: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or Other Jurisdiction of</w:t>
            </w:r>
          </w:p>
        </w:tc>
        <w:tc>
          <w:tcPr>
            <w:tcW w:w="3900" w:type="dxa"/>
            <w:vAlign w:val="bottom"/>
            <w:gridSpan w:val="3"/>
          </w:tcPr>
          <w:p>
            <w:pPr>
              <w:jc w:val="center"/>
              <w:ind w:left="119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3"/>
          </w:tcPr>
          <w:p>
            <w:pPr>
              <w:spacing w:after="0"/>
              <w:rPr>
                <w:sz w:val="20"/>
                <w:szCs w:val="20"/>
                <w:color w:val="auto"/>
              </w:rPr>
            </w:pPr>
            <w:r>
              <w:rPr>
                <w:rFonts w:ascii="Arial" w:cs="Arial" w:eastAsia="Arial" w:hAnsi="Arial"/>
                <w:sz w:val="18"/>
                <w:szCs w:val="18"/>
                <w:color w:val="auto"/>
                <w:w w:val="97"/>
              </w:rPr>
              <w:t>Indicate the number of shares outstanding of the issuer’s common stock as of October 22, 2012:</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9"/>
        </w:trPr>
        <w:tc>
          <w:tcPr>
            <w:tcW w:w="1920" w:type="dxa"/>
            <w:vAlign w:val="bottom"/>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514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c>
          <w:tcPr>
            <w:tcW w:w="1500" w:type="dxa"/>
            <w:vAlign w:val="bottom"/>
          </w:tcPr>
          <w:p>
            <w:pPr>
              <w:spacing w:after="0"/>
              <w:rPr>
                <w:sz w:val="24"/>
                <w:szCs w:val="24"/>
                <w:color w:val="auto"/>
              </w:rPr>
            </w:pPr>
          </w:p>
        </w:tc>
      </w:tr>
      <w:tr>
        <w:trPr>
          <w:trHeight w:val="230"/>
        </w:trPr>
        <w:tc>
          <w:tcPr>
            <w:tcW w:w="7520" w:type="dxa"/>
            <w:vAlign w:val="bottom"/>
            <w:gridSpan w:val="3"/>
          </w:tcPr>
          <w:p>
            <w:pPr>
              <w:jc w:val="center"/>
              <w:ind w:right="3200"/>
              <w:spacing w:after="0"/>
              <w:rPr>
                <w:sz w:val="20"/>
                <w:szCs w:val="20"/>
                <w:color w:val="auto"/>
              </w:rPr>
            </w:pPr>
            <w:r>
              <w:rPr>
                <w:rFonts w:ascii="Arial" w:cs="Arial" w:eastAsia="Arial" w:hAnsi="Arial"/>
                <w:sz w:val="18"/>
                <w:szCs w:val="18"/>
                <w:color w:val="auto"/>
                <w:w w:val="89"/>
              </w:rPr>
              <w:t>Common Stock, par value $0.01 per share</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22,356,815 shares</w:t>
            </w:r>
          </w:p>
        </w:tc>
        <w:tc>
          <w:tcPr>
            <w:tcW w:w="1500" w:type="dxa"/>
            <w:vAlign w:val="bottom"/>
          </w:tcPr>
          <w:p>
            <w:pPr>
              <w:spacing w:after="0"/>
              <w:rPr>
                <w:sz w:val="20"/>
                <w:szCs w:val="20"/>
                <w:color w:val="auto"/>
              </w:rPr>
            </w:pPr>
          </w:p>
        </w:tc>
      </w:tr>
      <w:tr>
        <w:trPr>
          <w:trHeight w:val="77"/>
        </w:trPr>
        <w:tc>
          <w:tcPr>
            <w:tcW w:w="1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1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71"/>
        </w:trPr>
        <w:tc>
          <w:tcPr>
            <w:tcW w:w="192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514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r>
      <w:tr>
        <w:trPr>
          <w:trHeight w:val="500"/>
        </w:trPr>
        <w:tc>
          <w:tcPr>
            <w:tcW w:w="1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96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9"/>
        </w:trPr>
        <w:tc>
          <w:tcPr>
            <w:tcW w:w="90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960" w:type="dxa"/>
            <w:vAlign w:val="bottom"/>
          </w:tcPr>
          <w:p>
            <w:pPr>
              <w:ind w:left="260"/>
              <w:spacing w:after="0"/>
              <w:rPr>
                <w:sz w:val="20"/>
                <w:szCs w:val="20"/>
                <w:color w:val="auto"/>
              </w:rPr>
            </w:pPr>
            <w:r>
              <w:rPr>
                <w:rFonts w:ascii="Arial" w:cs="Arial" w:eastAsia="Arial" w:hAnsi="Arial"/>
                <w:sz w:val="18"/>
                <w:szCs w:val="18"/>
                <w:color w:val="auto"/>
              </w:rPr>
              <w:t>FINANCIAL INFORMATION</w:t>
            </w:r>
          </w:p>
        </w:tc>
        <w:tc>
          <w:tcPr>
            <w:tcW w:w="560" w:type="dxa"/>
            <w:vAlign w:val="bottom"/>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sz w:val="20"/>
                <w:szCs w:val="20"/>
                <w:color w:val="auto"/>
              </w:rPr>
            </w:pPr>
            <w:r>
              <w:rPr>
                <w:rFonts w:ascii="Arial" w:cs="Arial" w:eastAsia="Arial" w:hAnsi="Arial"/>
                <w:sz w:val="18"/>
                <w:szCs w:val="18"/>
                <w:color w:val="auto"/>
              </w:rPr>
              <w:t>Unaudited Consolidated Financial Statements</w:t>
            </w:r>
          </w:p>
        </w:tc>
        <w:tc>
          <w:tcPr>
            <w:tcW w:w="5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Consolidated Balance Sheets as of September 30, 2012 and December 31, 2011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418"/>
        </w:trPr>
        <w:tc>
          <w:tcPr>
            <w:tcW w:w="9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2"/>
              </w:rPr>
              <w:t>Consolidated Statements of Comprehensive Income for the Three and Nine Months Ended September 30, 2012 and September 30,</w:t>
            </w:r>
          </w:p>
        </w:tc>
        <w:tc>
          <w:tcPr>
            <w:tcW w:w="56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2011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432"/>
        </w:trPr>
        <w:tc>
          <w:tcPr>
            <w:tcW w:w="9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Nine Months Ended September 30, 2012 and September 30, 2011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432"/>
        </w:trPr>
        <w:tc>
          <w:tcPr>
            <w:tcW w:w="9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96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432"/>
        </w:trPr>
        <w:tc>
          <w:tcPr>
            <w:tcW w:w="9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608"/>
        </w:trPr>
        <w:tc>
          <w:tcPr>
            <w:tcW w:w="900" w:type="dxa"/>
            <w:vAlign w:val="bottom"/>
          </w:tcPr>
          <w:p>
            <w:pPr>
              <w:spacing w:after="0"/>
              <w:rPr>
                <w:sz w:val="24"/>
                <w:szCs w:val="24"/>
                <w:color w:val="auto"/>
              </w:rPr>
            </w:pPr>
          </w:p>
        </w:tc>
        <w:tc>
          <w:tcPr>
            <w:tcW w:w="9960" w:type="dxa"/>
            <w:vAlign w:val="bottom"/>
          </w:tcPr>
          <w:p>
            <w:pPr>
              <w:ind w:left="47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r>
      <w:tr>
        <w:trPr>
          <w:trHeight w:val="108"/>
        </w:trPr>
        <w:tc>
          <w:tcPr>
            <w:tcW w:w="900" w:type="dxa"/>
            <w:vAlign w:val="bottom"/>
            <w:tcBorders>
              <w:bottom w:val="single" w:sz="8" w:color="808080"/>
            </w:tcBorders>
          </w:tcPr>
          <w:p>
            <w:pPr>
              <w:spacing w:after="0"/>
              <w:rPr>
                <w:sz w:val="9"/>
                <w:szCs w:val="9"/>
                <w:color w:val="auto"/>
              </w:rPr>
            </w:pPr>
          </w:p>
        </w:tc>
        <w:tc>
          <w:tcPr>
            <w:tcW w:w="9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2"/>
        </w:trPr>
        <w:tc>
          <w:tcPr>
            <w:tcW w:w="8700" w:type="dxa"/>
            <w:vAlign w:val="bottom"/>
          </w:tcPr>
          <w:p>
            <w:pPr>
              <w:ind w:left="396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114,591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7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118,843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50,883</w:t>
            </w:r>
          </w:p>
        </w:tc>
        <w:tc>
          <w:tcPr>
            <w:tcW w:w="0" w:type="dxa"/>
            <w:vAlign w:val="bottom"/>
          </w:tcPr>
          <w:p>
            <w:pPr>
              <w:spacing w:after="0"/>
              <w:rPr>
                <w:sz w:val="1"/>
                <w:szCs w:val="1"/>
                <w:color w:val="auto"/>
              </w:rPr>
            </w:pPr>
          </w:p>
        </w:tc>
      </w:tr>
      <w:tr>
        <w:trPr>
          <w:trHeight w:val="404"/>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5,987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r>
              <w:rPr>
                <w:rFonts w:ascii="Arial" w:cs="Arial" w:eastAsia="Arial" w:hAnsi="Arial"/>
                <w:sz w:val="18"/>
                <w:szCs w:val="18"/>
                <w:color w:val="auto"/>
              </w:rPr>
              <w:t>Other assets, net</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125,842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57,851</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professional</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439"/>
        </w:trPr>
        <w:tc>
          <w:tcPr>
            <w:tcW w:w="870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2"/>
              </w:rPr>
              <w:t>Common stock, $.01 par value; 70,000,000 shares authorized; issued and outstanding 22,356,815 as of September</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30, 2012 and 20,622,889 as of December 31, 2011</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79,512</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0" w:type="dxa"/>
            <w:vAlign w:val="bottom"/>
          </w:tcPr>
          <w:p>
            <w:pPr>
              <w:spacing w:after="0"/>
              <w:rPr>
                <w:sz w:val="1"/>
                <w:szCs w:val="1"/>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117,208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54,575</w:t>
            </w:r>
          </w:p>
        </w:tc>
        <w:tc>
          <w:tcPr>
            <w:tcW w:w="0" w:type="dxa"/>
            <w:vAlign w:val="bottom"/>
          </w:tcPr>
          <w:p>
            <w:pPr>
              <w:spacing w:after="0"/>
              <w:rPr>
                <w:sz w:val="1"/>
                <w:szCs w:val="1"/>
                <w:color w:val="auto"/>
              </w:rPr>
            </w:pPr>
          </w:p>
        </w:tc>
      </w:tr>
      <w:tr>
        <w:trPr>
          <w:trHeight w:val="432"/>
        </w:trPr>
        <w:tc>
          <w:tcPr>
            <w:tcW w:w="87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125,842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57,851</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Product sales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4,048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10,541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37"/>
        </w:trPr>
        <w:tc>
          <w:tcPr>
            <w:tcW w:w="6080" w:type="dxa"/>
            <w:vAlign w:val="bottom"/>
          </w:tcPr>
          <w:p>
            <w:pPr>
              <w:ind w:left="36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3"/>
        </w:trPr>
        <w:tc>
          <w:tcPr>
            <w:tcW w:w="60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7"/>
        </w:trPr>
        <w:tc>
          <w:tcPr>
            <w:tcW w:w="60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3"/>
        </w:trPr>
        <w:tc>
          <w:tcPr>
            <w:tcW w:w="6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Operating income before gain on sale of patent assets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Gain on sale of patent assets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15,167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86,394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Operating income after gain on sale of patent assets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16,613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1,589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89,007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16,658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89,229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23,248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65,981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10,297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Basic net income per share from continuing operations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Basic net income (loss) per share from discontinued operations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Diluted net income per share from continuing operations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Diluted net income (loss) per share from discontinued operations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608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22,339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21,609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20,507</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22,501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20,780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10,297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Other comprehensive income, net of $0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340"/>
              <w:spacing w:after="0"/>
              <w:rPr>
                <w:sz w:val="20"/>
                <w:szCs w:val="20"/>
                <w:color w:val="auto"/>
              </w:rPr>
            </w:pPr>
            <w:r>
              <w:rPr>
                <w:rFonts w:ascii="Arial" w:cs="Arial" w:eastAsia="Arial" w:hAnsi="Arial"/>
                <w:sz w:val="18"/>
                <w:szCs w:val="18"/>
                <w:color w:val="auto"/>
              </w:rPr>
              <w:t>Unrealized gains (losses) on available for sale securities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10,293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66,357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r>
      <w:tr>
        <w:trPr>
          <w:trHeight w:val="223"/>
        </w:trPr>
        <w:tc>
          <w:tcPr>
            <w:tcW w:w="8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2011</w:t>
            </w: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66,341</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1,607</w:t>
            </w:r>
          </w:p>
        </w:tc>
      </w:tr>
      <w:tr>
        <w:trPr>
          <w:trHeight w:val="216"/>
        </w:trPr>
        <w:tc>
          <w:tcPr>
            <w:tcW w:w="87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1,102</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Gain on sale of patent assets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(86,394)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15,761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Amortization of discount on investments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Gain on sale of investments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7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1,388</w:t>
            </w:r>
          </w:p>
        </w:tc>
      </w:tr>
      <w:tr>
        <w:trPr>
          <w:trHeight w:val="216"/>
        </w:trPr>
        <w:tc>
          <w:tcPr>
            <w:tcW w:w="87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16"/>
        </w:trPr>
        <w:tc>
          <w:tcPr>
            <w:tcW w:w="87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7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700" w:type="dxa"/>
            <w:vAlign w:val="bottom"/>
          </w:tcPr>
          <w:p>
            <w:pPr>
              <w:ind w:left="500"/>
              <w:spacing w:after="0"/>
              <w:rPr>
                <w:sz w:val="20"/>
                <w:szCs w:val="20"/>
                <w:color w:val="auto"/>
              </w:rPr>
            </w:pPr>
            <w:r>
              <w:rPr>
                <w:rFonts w:ascii="Arial" w:cs="Arial" w:eastAsia="Arial" w:hAnsi="Arial"/>
                <w:sz w:val="18"/>
                <w:szCs w:val="18"/>
                <w:color w:val="auto"/>
              </w:rPr>
              <w:t>Accrued expenses, compensation, and professional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16"/>
        </w:trPr>
        <w:tc>
          <w:tcPr>
            <w:tcW w:w="8700" w:type="dxa"/>
            <w:vAlign w:val="bottom"/>
          </w:tcPr>
          <w:p>
            <w:pPr>
              <w:ind w:left="50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7,727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w:t>
            </w: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4,946</w:t>
            </w: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Proceeds from sale of patent assets, net</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86,394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Tax payments on gain on sale of patent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5,896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1,711</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(25,506)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Payments made for taxes of employees who surrendered shares related to unrestricted stock</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7"/>
        </w:trPr>
        <w:tc>
          <w:tcPr>
            <w:tcW w:w="870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68,014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5,576</w:t>
            </w:r>
          </w:p>
        </w:tc>
      </w:tr>
      <w:tr>
        <w:trPr>
          <w:trHeight w:val="237"/>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39,949</w:t>
            </w: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114,591</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45,525</w:t>
            </w:r>
          </w:p>
        </w:tc>
      </w:tr>
      <w:tr>
        <w:trPr>
          <w:trHeight w:val="21"/>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2011 in conjunction with our 2011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The accompanying unaudited consolidated balance sheets, statements of comprehensive income, and statements of cash flows reflect all adjustments (consisting only of normal recurring items) which are, in the opinion of management, necessary for a fair presentation of financial position at September 30, 2012, and of operations and cash flows for the interim periods ended September 30, 2012 and 2011.</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September 30, 2012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Level 1 – valuations are based on quoted prices (unadjusted) in active markets for identical assets or liabilities that the reporting entity has the ability to access at the measurement date. Level 2- valuations are based on quoted prices in markets that are not active or for which all significant inputs are observable, either directly or indirectly. Level 3-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$114.6 million and $46.6 million as of September 30, 2012 and December 31, 2011, respectively. We classified our cash equivalents of $111.6 million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$1.0 million and $0.7 million of available-for-sale investments as of September 30, 2012 and December 31, 2011, respectively.</w:t>
      </w:r>
    </w:p>
    <w:p>
      <w:pPr>
        <w:spacing w:after="0" w:line="192" w:lineRule="exact"/>
        <w:rPr>
          <w:rFonts w:ascii="Arial" w:cs="Arial" w:eastAsia="Arial" w:hAnsi="Arial"/>
          <w:sz w:val="17"/>
          <w:szCs w:val="17"/>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with cost being determined by the first-in, first-out (“FIFO”)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Inventory reserves are established for estimated excess and obsolete inventory. Inventories consist primarily of the following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6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240" w:type="dxa"/>
            <w:vAlign w:val="bottom"/>
          </w:tcPr>
          <w:p>
            <w:pPr>
              <w:jc w:val="right"/>
              <w:ind w:right="117"/>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339</w:t>
            </w: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r>
      <w:tr>
        <w:trPr>
          <w:trHeight w:val="21"/>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w w:val="91"/>
              </w:rPr>
              <w:t>Net income:</w:t>
            </w:r>
          </w:p>
        </w:tc>
        <w:tc>
          <w:tcPr>
            <w:tcW w:w="5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10,080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65,981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28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10,297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66,341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
        </w:trPr>
        <w:tc>
          <w:tcPr>
            <w:tcW w:w="6080" w:type="dxa"/>
            <w:vAlign w:val="bottom"/>
            <w:gridSpan w:val="6"/>
            <w:vMerge w:val="restart"/>
          </w:tcPr>
          <w:p>
            <w:pPr>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8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20,507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Additional dilutive common stock equivalents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22,501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20,780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21,888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21"/>
        </w:trPr>
        <w:tc>
          <w:tcPr>
            <w:tcW w:w="2000" w:type="dxa"/>
            <w:vAlign w:val="bottom"/>
            <w:gridSpan w:val="4"/>
            <w:vMerge w:val="restart"/>
          </w:tcPr>
          <w:p>
            <w:pPr>
              <w:spacing w:after="0"/>
              <w:rPr>
                <w:sz w:val="20"/>
                <w:szCs w:val="20"/>
                <w:color w:val="auto"/>
              </w:rPr>
            </w:pPr>
            <w:r>
              <w:rPr>
                <w:rFonts w:ascii="Arial" w:cs="Arial" w:eastAsia="Arial" w:hAnsi="Arial"/>
                <w:sz w:val="18"/>
                <w:szCs w:val="18"/>
                <w:color w:val="auto"/>
                <w:w w:val="88"/>
              </w:rPr>
              <w:t>Basic net income per share:</w:t>
            </w:r>
          </w:p>
        </w:tc>
        <w:tc>
          <w:tcPr>
            <w:tcW w:w="40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000" w:type="dxa"/>
            <w:vAlign w:val="bottom"/>
            <w:tcBorders>
              <w:bottom w:val="single" w:sz="8" w:color="auto"/>
            </w:tcBorders>
            <w:gridSpan w:val="4"/>
            <w:vMerge w:val="continue"/>
          </w:tcPr>
          <w:p>
            <w:pPr>
              <w:spacing w:after="0"/>
              <w:rPr>
                <w:sz w:val="24"/>
                <w:szCs w:val="24"/>
                <w:color w:val="auto"/>
              </w:rPr>
            </w:pPr>
          </w:p>
        </w:tc>
        <w:tc>
          <w:tcPr>
            <w:tcW w:w="40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Basic net income per share from continuing operations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Basic net income (loss) per share from discontinued operations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280"/>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020" w:type="dxa"/>
            <w:vAlign w:val="bottom"/>
            <w:gridSpan w:val="5"/>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Diluted net income per share from continuing operations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ind w:left="120"/>
              <w:spacing w:after="0"/>
              <w:rPr>
                <w:sz w:val="20"/>
                <w:szCs w:val="20"/>
                <w:color w:val="auto"/>
              </w:rPr>
            </w:pPr>
            <w:r>
              <w:rPr>
                <w:rFonts w:ascii="Arial" w:cs="Arial" w:eastAsia="Arial" w:hAnsi="Arial"/>
                <w:sz w:val="18"/>
                <w:szCs w:val="18"/>
                <w:color w:val="auto"/>
              </w:rPr>
              <w:t>Diluted net income (loss) per share from discontinued operations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280"/>
              <w:spacing w:after="0"/>
              <w:rPr>
                <w:sz w:val="20"/>
                <w:szCs w:val="20"/>
                <w:color w:val="auto"/>
              </w:rPr>
            </w:pPr>
            <w:r>
              <w:rPr>
                <w:rFonts w:ascii="Arial" w:cs="Arial" w:eastAsia="Arial" w:hAnsi="Arial"/>
                <w:sz w:val="18"/>
                <w:szCs w:val="18"/>
                <w:color w:val="auto"/>
              </w:rPr>
              <w:t>Diluted net income per share</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For the three month periods ended September 30, 2012 and 2011, options to purchase 25,000 and 2,884,326 shares of common stock, respectively, were outstanding, but were not included in the computation of diluted EPS because the options’ exercise prices were greater than the average market price of the common stock and thus would be anti-dilutive. For the nine month periods ended September 30, 2012 and 2011, options to purchase 829,504 and 2,883,826 shares of common stock, respectively, were outstanding, but were not included in the computation of diluted EPS because the options’ exercise prices were greater than the average market price of the common stock and thus would be anti-dilutive.</w:t>
      </w:r>
    </w:p>
    <w:p>
      <w:pPr>
        <w:spacing w:after="0" w:line="185" w:lineRule="exact"/>
        <w:rPr>
          <w:sz w:val="20"/>
          <w:szCs w:val="20"/>
          <w:color w:val="auto"/>
        </w:rPr>
      </w:pPr>
    </w:p>
    <w:p>
      <w:pPr>
        <w:ind w:left="760" w:hanging="466"/>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46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Cost of services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61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Selling and marketing</w:t>
            </w:r>
          </w:p>
        </w:tc>
        <w:tc>
          <w:tcPr>
            <w:tcW w:w="86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809</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546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218</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61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299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1,102</w:t>
            </w:r>
          </w:p>
        </w:tc>
      </w:tr>
      <w:tr>
        <w:trPr>
          <w:trHeight w:val="21"/>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i w:val="1"/>
          <w:iCs w:val="1"/>
          <w:color w:val="auto"/>
        </w:rPr>
        <w:t>Stock Option and SAR Grants</w:t>
      </w:r>
      <w:r>
        <w:rPr>
          <w:rFonts w:ascii="Arial" w:cs="Arial" w:eastAsia="Arial" w:hAnsi="Arial"/>
          <w:sz w:val="17"/>
          <w:szCs w:val="17"/>
          <w:color w:val="auto"/>
        </w:rPr>
        <w:t>. We grant stock options and stock appreciation rights (“SARs”) under our 2001 Nonqualified Stock Plan. We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the 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both"/>
        <w:ind w:left="8"/>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to directors, officers and employees under our 2001 Nonqualified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for 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Stock Option, SAR, and Unrestricted Stock Grant Activity</w:t>
      </w:r>
      <w:r>
        <w:rPr>
          <w:rFonts w:ascii="Arial" w:cs="Arial" w:eastAsia="Arial" w:hAnsi="Arial"/>
          <w:sz w:val="18"/>
          <w:szCs w:val="18"/>
          <w:color w:val="auto"/>
        </w:rPr>
        <w:t>. The following summarizes stock-based grant activity in 2012 and 2011.</w:t>
      </w:r>
    </w:p>
    <w:p>
      <w:pPr>
        <w:spacing w:after="0" w:line="252" w:lineRule="exact"/>
        <w:rPr>
          <w:sz w:val="20"/>
          <w:szCs w:val="20"/>
          <w:color w:val="auto"/>
        </w:rPr>
      </w:pPr>
    </w:p>
    <w:p>
      <w:pPr>
        <w:jc w:val="both"/>
        <w:ind w:left="328" w:hanging="328"/>
        <w:spacing w:after="0" w:line="26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options and SARS – We did not grant any stock options in the three months ended September 30, 2012 and 2011. We granted 50,000 stock options in the nine months ended September 30, 2012 and no stock options in the nine months ended September 30, 2011. No SARs were granted in the three or nine month periods ended September 30, 2012 and 2011.</w:t>
      </w:r>
    </w:p>
    <w:p>
      <w:pPr>
        <w:spacing w:after="0" w:line="208" w:lineRule="exact"/>
        <w:rPr>
          <w:rFonts w:ascii="Arial" w:cs="Arial" w:eastAsia="Arial" w:hAnsi="Arial"/>
          <w:sz w:val="18"/>
          <w:szCs w:val="18"/>
          <w:color w:val="auto"/>
        </w:rPr>
      </w:pPr>
    </w:p>
    <w:p>
      <w:pPr>
        <w:jc w:val="both"/>
        <w:ind w:left="328" w:hanging="328"/>
        <w:spacing w:after="0" w:line="297"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Unrestricted Stock Grants - In July 2010, we granted 575,443 shares of stock to directors, officers and employees of which 111,163 shares were issued immediately and 464,280 shares were to be issued in four equal increments on December 31, 2010, June 30, 2011, December 31, 2011, and June 30, 2012; provided that grantees remain employed on each of those dates. We expensed $0 and $100,000 of stock-based compensation expense related to this grant in the three months ended September 30, 2012 and 2011, respectively. We expensed $189,000 and $346,000 of stock-based compensation expense related to this grant in the nine months ended September 30, 2012 and 2011, respectively.</w:t>
      </w:r>
    </w:p>
    <w:p>
      <w:pPr>
        <w:spacing w:after="0" w:line="185"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7"/>
          <w:szCs w:val="17"/>
          <w:color w:val="auto"/>
        </w:rPr>
        <w:t>Shares issued in connection with the July 2010 stock grant were as follows in the nine month periods ended September 30, 2012 and 2011:</w:t>
      </w:r>
    </w:p>
    <w:p>
      <w:pPr>
        <w:spacing w:after="0" w:line="263" w:lineRule="exact"/>
        <w:rPr>
          <w:rFonts w:ascii="Arial" w:cs="Arial" w:eastAsia="Arial" w:hAnsi="Arial"/>
          <w:sz w:val="16"/>
          <w:szCs w:val="16"/>
          <w:color w:val="auto"/>
        </w:rPr>
      </w:pPr>
    </w:p>
    <w:p>
      <w:pPr>
        <w:jc w:val="both"/>
        <w:ind w:left="968" w:hanging="320"/>
        <w:spacing w:after="0" w:line="302" w:lineRule="auto"/>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Nine months ended September 30, 2012 </w:t>
      </w:r>
      <w:r>
        <w:rPr>
          <w:rFonts w:ascii="Arial" w:cs="Arial" w:eastAsia="Arial" w:hAnsi="Arial"/>
          <w:sz w:val="16"/>
          <w:szCs w:val="16"/>
          <w:color w:val="auto"/>
        </w:rPr>
        <w:t>- We issued 76,906 shares on January 3, 2012 to officers and employees who were employed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Grantees were allowed to surrender a portion of their stock in return for the Company paying their related withholding taxes. As a result of this provision, grantees surrendered 12,153 shares of common stock and the Company paid approximately $36,000 of withholding taxes on their behalf. After the share surrender, 64,753 net shares of common stock were issued.</w:t>
      </w:r>
    </w:p>
    <w:p>
      <w:pPr>
        <w:spacing w:after="0" w:line="181" w:lineRule="exact"/>
        <w:rPr>
          <w:rFonts w:ascii="Arial" w:cs="Arial" w:eastAsia="Arial" w:hAnsi="Arial"/>
          <w:sz w:val="16"/>
          <w:szCs w:val="16"/>
          <w:color w:val="auto"/>
        </w:rPr>
      </w:pPr>
    </w:p>
    <w:p>
      <w:pPr>
        <w:jc w:val="both"/>
        <w:ind w:left="968"/>
        <w:spacing w:after="0" w:line="259" w:lineRule="auto"/>
        <w:rPr>
          <w:rFonts w:ascii="Arial" w:cs="Arial" w:eastAsia="Arial" w:hAnsi="Arial"/>
          <w:sz w:val="16"/>
          <w:szCs w:val="16"/>
          <w:color w:val="auto"/>
        </w:rPr>
      </w:pPr>
      <w:r>
        <w:rPr>
          <w:rFonts w:ascii="Arial" w:cs="Arial" w:eastAsia="Arial" w:hAnsi="Arial"/>
          <w:sz w:val="18"/>
          <w:szCs w:val="18"/>
          <w:color w:val="auto"/>
        </w:rPr>
        <w:t>We issued the final installment under the 2010 grant on July 2, 2012 to officers and employees who were employed on June 30, 2012. We issued a total of 74,668 shares less 21,288 shares surrendered by employees for withholding taxes. The Company paid approximately $137,000 of withholding taxes on behalf of grantees who surrendered shares. After the share surrender, 53,380 net shares of common stock were issued.</w:t>
      </w:r>
    </w:p>
    <w:p>
      <w:pPr>
        <w:spacing w:after="0" w:line="213" w:lineRule="exact"/>
        <w:rPr>
          <w:rFonts w:ascii="Arial" w:cs="Arial" w:eastAsia="Arial" w:hAnsi="Arial"/>
          <w:sz w:val="16"/>
          <w:szCs w:val="16"/>
          <w:color w:val="auto"/>
        </w:rPr>
      </w:pPr>
    </w:p>
    <w:p>
      <w:pPr>
        <w:jc w:val="both"/>
        <w:ind w:left="968" w:hanging="320"/>
        <w:spacing w:after="0" w:line="273" w:lineRule="auto"/>
        <w:tabs>
          <w:tab w:leader="none" w:pos="968"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Nine months ended September 30, 2011 </w:t>
      </w:r>
      <w:r>
        <w:rPr>
          <w:rFonts w:ascii="Arial" w:cs="Arial" w:eastAsia="Arial" w:hAnsi="Arial"/>
          <w:sz w:val="17"/>
          <w:szCs w:val="17"/>
          <w:color w:val="auto"/>
        </w:rPr>
        <w:t>- We issued 115,682 shares on January 4, 2011 to officers and employees who were employed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2010 and 79,304 shares on July 1, 2011 to officers and employees who were employed as of June 30, 2011. Grantees were allowed to surrender a portion of their stock in return for the Company paying their related withholding taxes. As a result of this provision, grantees surrendered 13,721 and 23,277 shares of common stock and the Company paid approximately $39,000 and $70,000 of withholding taxes on their behalf on January 4, 2011 and July 1, 2011, respectively. After the share surrender, 101,961and 56,027 net shares of common stock were issued on January 4, 2011 and July 1, 2011, respectively.</w:t>
      </w:r>
    </w:p>
    <w:p>
      <w:pPr>
        <w:spacing w:after="0" w:line="205"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Our former President and CEO resigned in April 2011. As part of his separation arrangement he was granted 105,000 shares of common stock, which resulted in a stock-based compensation charge of $362,000 in the three months ended June 30, 2011. He had an option to surrender a portion of his shares in return for the Company paying his taxes. He exercised that option, and we issued 71,662 shares of common stock to him and paid $115,000 of withholding taxes on his behalf.</w:t>
      </w:r>
    </w:p>
    <w:p>
      <w:pPr>
        <w:spacing w:after="0" w:line="36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517" w:right="239" w:bottom="1440" w:gutter="0" w:footer="0" w:header="0"/>
        </w:sectPr>
      </w:pPr>
    </w:p>
    <w:bookmarkStart w:id="8" w:name="page9"/>
    <w:bookmarkEnd w:id="8"/>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multiple segments reporting to the chief operating decision makers. The following table provides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financial data for the three and nine months ended September 30, 2012 and 2011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color w:val="auto"/>
              </w:rPr>
              <w:t>Segments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9"/>
              </w:rPr>
              <w:t>Biometrics</w:t>
            </w:r>
          </w:p>
        </w:tc>
        <w:tc>
          <w:tcPr>
            <w:tcW w:w="240" w:type="dxa"/>
            <w:vAlign w:val="bottom"/>
          </w:tcPr>
          <w:p>
            <w:pPr>
              <w:spacing w:after="0"/>
              <w:rPr>
                <w:sz w:val="17"/>
                <w:szCs w:val="17"/>
                <w:color w:val="auto"/>
              </w:rPr>
            </w:pPr>
          </w:p>
        </w:tc>
        <w:tc>
          <w:tcPr>
            <w:tcW w:w="11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1"/>
              </w:rPr>
              <w:t>DSL Service</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&amp; Imaging</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Assurance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Corporate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w w:val="90"/>
              </w:rPr>
              <w:t>Three Months Ended September 30, 2012</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418"/>
        </w:trPr>
        <w:tc>
          <w:tcPr>
            <w:tcW w:w="4980" w:type="dxa"/>
            <w:vAlign w:val="bottom"/>
            <w:gridSpan w:val="5"/>
          </w:tcPr>
          <w:p>
            <w:pPr>
              <w:spacing w:after="0"/>
              <w:rPr>
                <w:sz w:val="20"/>
                <w:szCs w:val="20"/>
                <w:color w:val="auto"/>
              </w:rPr>
            </w:pPr>
            <w:r>
              <w:rPr>
                <w:rFonts w:ascii="Arial" w:cs="Arial" w:eastAsia="Arial" w:hAnsi="Arial"/>
                <w:sz w:val="18"/>
                <w:szCs w:val="18"/>
                <w:color w:val="auto"/>
              </w:rPr>
              <w:t>Operating income (loss) before gain on sale of patent assets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Gain on sale of patent assets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Income from discontinued operations, net of tax</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1"/>
        </w:trPr>
        <w:tc>
          <w:tcPr>
            <w:tcW w:w="49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Three Months Ended September 30, 2011</w:t>
            </w: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980" w:type="dxa"/>
            <w:vAlign w:val="bottom"/>
            <w:gridSpan w:val="5"/>
            <w:vMerge w:val="continue"/>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418"/>
        </w:trPr>
        <w:tc>
          <w:tcPr>
            <w:tcW w:w="4980" w:type="dxa"/>
            <w:vAlign w:val="bottom"/>
            <w:gridSpan w:val="5"/>
          </w:tcPr>
          <w:p>
            <w:pPr>
              <w:spacing w:after="0"/>
              <w:rPr>
                <w:sz w:val="20"/>
                <w:szCs w:val="20"/>
                <w:color w:val="auto"/>
              </w:rPr>
            </w:pPr>
            <w:r>
              <w:rPr>
                <w:rFonts w:ascii="Arial" w:cs="Arial" w:eastAsia="Arial" w:hAnsi="Arial"/>
                <w:sz w:val="18"/>
                <w:szCs w:val="18"/>
                <w:color w:val="auto"/>
              </w:rPr>
              <w:t>Operating income (loss) before gain on sale of patent assets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2,295</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Loss from discontinued operations, net of tax</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3"/>
            <w:vMerge w:val="restart"/>
          </w:tcPr>
          <w:p>
            <w:pPr>
              <w:jc w:val="right"/>
              <w:ind w:right="890"/>
              <w:spacing w:after="0"/>
              <w:rPr>
                <w:sz w:val="20"/>
                <w:szCs w:val="20"/>
                <w:color w:val="auto"/>
              </w:rPr>
            </w:pPr>
            <w:r>
              <w:rPr>
                <w:rFonts w:ascii="Arial" w:cs="Arial" w:eastAsia="Arial" w:hAnsi="Arial"/>
                <w:sz w:val="18"/>
                <w:szCs w:val="18"/>
                <w:color w:val="auto"/>
              </w:rPr>
              <w:t>Segments</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9"/>
              </w:rPr>
              <w:t>Biometrics</w:t>
            </w:r>
          </w:p>
        </w:tc>
        <w:tc>
          <w:tcPr>
            <w:tcW w:w="240" w:type="dxa"/>
            <w:vAlign w:val="bottom"/>
          </w:tcPr>
          <w:p>
            <w:pPr>
              <w:spacing w:after="0"/>
              <w:rPr>
                <w:sz w:val="17"/>
                <w:szCs w:val="17"/>
                <w:color w:val="auto"/>
              </w:rPr>
            </w:pPr>
          </w:p>
        </w:tc>
        <w:tc>
          <w:tcPr>
            <w:tcW w:w="11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1"/>
              </w:rPr>
              <w:t>DSL Service</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&amp; Imaging</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Assurance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Corporate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90"/>
              </w:rPr>
              <w:t>Nine Months Ended September 30, 2012</w:t>
            </w:r>
          </w:p>
        </w:tc>
        <w:tc>
          <w:tcPr>
            <w:tcW w:w="1880" w:type="dxa"/>
            <w:vAlign w:val="bottom"/>
            <w:gridSpan w:val="3"/>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10,847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418"/>
        </w:trPr>
        <w:tc>
          <w:tcPr>
            <w:tcW w:w="4980" w:type="dxa"/>
            <w:vAlign w:val="bottom"/>
            <w:gridSpan w:val="5"/>
          </w:tcPr>
          <w:p>
            <w:pPr>
              <w:spacing w:after="0"/>
              <w:rPr>
                <w:sz w:val="20"/>
                <w:szCs w:val="20"/>
                <w:color w:val="auto"/>
              </w:rPr>
            </w:pPr>
            <w:r>
              <w:rPr>
                <w:rFonts w:ascii="Arial" w:cs="Arial" w:eastAsia="Arial" w:hAnsi="Arial"/>
                <w:sz w:val="18"/>
                <w:szCs w:val="18"/>
                <w:color w:val="auto"/>
              </w:rPr>
              <w:t>Operating income (loss) before gain on sale of patent assets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Gain on sale of patent assets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89,229</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(23,248)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(23,248)</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Income from discontinued operations, net of tax</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66,341</w:t>
            </w:r>
          </w:p>
        </w:tc>
        <w:tc>
          <w:tcPr>
            <w:tcW w:w="0" w:type="dxa"/>
            <w:vAlign w:val="bottom"/>
          </w:tcPr>
          <w:p>
            <w:pPr>
              <w:spacing w:after="0"/>
              <w:rPr>
                <w:sz w:val="1"/>
                <w:szCs w:val="1"/>
                <w:color w:val="auto"/>
              </w:rPr>
            </w:pPr>
          </w:p>
        </w:tc>
      </w:tr>
      <w:tr>
        <w:trPr>
          <w:trHeight w:val="21"/>
        </w:trPr>
        <w:tc>
          <w:tcPr>
            <w:tcW w:w="49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Nine Months Ended September 30, 2011</w:t>
            </w: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980" w:type="dxa"/>
            <w:vAlign w:val="bottom"/>
            <w:gridSpan w:val="5"/>
            <w:vMerge w:val="continue"/>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900" w:type="dxa"/>
            <w:vAlign w:val="bottom"/>
            <w:gridSpan w:val="4"/>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418"/>
        </w:trPr>
        <w:tc>
          <w:tcPr>
            <w:tcW w:w="4980" w:type="dxa"/>
            <w:vAlign w:val="bottom"/>
            <w:gridSpan w:val="5"/>
          </w:tcPr>
          <w:p>
            <w:pPr>
              <w:spacing w:after="0"/>
              <w:rPr>
                <w:sz w:val="20"/>
                <w:szCs w:val="20"/>
                <w:color w:val="auto"/>
              </w:rPr>
            </w:pPr>
            <w:r>
              <w:rPr>
                <w:rFonts w:ascii="Arial" w:cs="Arial" w:eastAsia="Arial" w:hAnsi="Arial"/>
                <w:sz w:val="18"/>
                <w:szCs w:val="18"/>
                <w:color w:val="auto"/>
              </w:rPr>
              <w:t>Operating income (loss) before gain on sale of patent assets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4,361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4980" w:type="dxa"/>
            <w:vAlign w:val="bottom"/>
            <w:gridSpan w:val="5"/>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7"/>
        </w:trPr>
        <w:tc>
          <w:tcPr>
            <w:tcW w:w="4980" w:type="dxa"/>
            <w:vAlign w:val="bottom"/>
            <w:gridSpan w:val="5"/>
          </w:tcPr>
          <w:p>
            <w:pPr>
              <w:spacing w:after="0"/>
              <w:rPr>
                <w:sz w:val="20"/>
                <w:szCs w:val="20"/>
                <w:color w:val="auto"/>
              </w:rPr>
            </w:pPr>
            <w:r>
              <w:rPr>
                <w:rFonts w:ascii="Arial" w:cs="Arial" w:eastAsia="Arial" w:hAnsi="Arial"/>
                <w:sz w:val="18"/>
                <w:szCs w:val="18"/>
                <w:color w:val="auto"/>
              </w:rPr>
              <w:t>Loss from discontinued operations, net of tax</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9" w:name="page10"/>
    <w:bookmarkEnd w:id="9"/>
    <w:p>
      <w:pPr>
        <w:ind w:left="30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480"/>
              <w:spacing w:after="0"/>
              <w:rPr>
                <w:sz w:val="20"/>
                <w:szCs w:val="20"/>
                <w:color w:val="auto"/>
              </w:rPr>
            </w:pPr>
            <w:r>
              <w:rPr>
                <w:rFonts w:ascii="Arial" w:cs="Arial" w:eastAsia="Arial" w:hAnsi="Arial"/>
                <w:sz w:val="18"/>
                <w:szCs w:val="18"/>
                <w:color w:val="auto"/>
              </w:rPr>
              <w:t>3,350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9,302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9,444</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r>
      <w:tr>
        <w:trPr>
          <w:trHeight w:val="216"/>
        </w:trPr>
        <w:tc>
          <w:tcPr>
            <w:tcW w:w="5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14,339</w:t>
            </w:r>
          </w:p>
        </w:tc>
      </w:tr>
      <w:tr>
        <w:trPr>
          <w:trHeight w:val="21"/>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single foreign countries from which we derived revenue that accounted for 10% or more of our total revenue in the three or nine month periods ended September 30, 2012 and 2011.</w:t>
      </w:r>
    </w:p>
    <w:p>
      <w:pPr>
        <w:spacing w:after="0" w:line="197" w:lineRule="exact"/>
        <w:rPr>
          <w:sz w:val="20"/>
          <w:szCs w:val="20"/>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Statement of Stockholders’ Equity. </w:t>
      </w:r>
      <w:r>
        <w:rPr>
          <w:rFonts w:ascii="Arial" w:cs="Arial" w:eastAsia="Arial" w:hAnsi="Arial"/>
          <w:sz w:val="18"/>
          <w:szCs w:val="18"/>
          <w:color w:val="auto"/>
        </w:rPr>
        <w:t>A statement of changes in stockholders’ equity for the nine month period ended September 30, 2012 is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8"/>
              </w:rPr>
              <w:t>Retained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Additional</w:t>
            </w:r>
          </w:p>
        </w:tc>
        <w:tc>
          <w:tcPr>
            <w:tcW w:w="2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8"/>
              </w:rPr>
              <w:t>Other</w:t>
            </w:r>
          </w:p>
        </w:tc>
        <w:tc>
          <w:tcPr>
            <w:tcW w:w="30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Earnings/</w:t>
            </w:r>
          </w:p>
        </w:tc>
        <w:tc>
          <w:tcPr>
            <w:tcW w:w="1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Total</w:t>
            </w:r>
          </w:p>
        </w:tc>
      </w:tr>
      <w:tr>
        <w:trPr>
          <w:trHeight w:val="237"/>
        </w:trPr>
        <w:tc>
          <w:tcPr>
            <w:tcW w:w="3320" w:type="dxa"/>
            <w:vAlign w:val="bottom"/>
          </w:tcPr>
          <w:p>
            <w:pPr>
              <w:spacing w:after="0"/>
              <w:rPr>
                <w:sz w:val="20"/>
                <w:szCs w:val="20"/>
                <w:color w:val="auto"/>
              </w:rPr>
            </w:pPr>
          </w:p>
        </w:tc>
        <w:tc>
          <w:tcPr>
            <w:tcW w:w="22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Common Stock</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Paid-In</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2"/>
              </w:rPr>
              <w:t>Stockholders’</w:t>
            </w:r>
          </w:p>
        </w:tc>
      </w:tr>
      <w:tr>
        <w:trPr>
          <w:trHeight w:val="223"/>
        </w:trPr>
        <w:tc>
          <w:tcPr>
            <w:tcW w:w="3320" w:type="dxa"/>
            <w:vAlign w:val="bottom"/>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Capital</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Loss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Deficit)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Equity</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20,623</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79,512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54,575</w:t>
            </w:r>
          </w:p>
        </w:tc>
      </w:tr>
      <w:tr>
        <w:trPr>
          <w:trHeight w:val="418"/>
        </w:trPr>
        <w:tc>
          <w:tcPr>
            <w:tcW w:w="332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1,613</w:t>
            </w:r>
          </w:p>
        </w:tc>
        <w:tc>
          <w:tcPr>
            <w:tcW w:w="94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5,868</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5,884</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Issuance of unrestricted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9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w w:val="94"/>
              </w:rPr>
              <w:t>Shares surrendered by employees to pay</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20" w:type="dxa"/>
            <w:vAlign w:val="bottom"/>
          </w:tcPr>
          <w:p>
            <w:pPr>
              <w:ind w:left="340"/>
              <w:spacing w:after="0"/>
              <w:rPr>
                <w:sz w:val="20"/>
                <w:szCs w:val="20"/>
                <w:color w:val="auto"/>
              </w:rPr>
            </w:pPr>
            <w:r>
              <w:rPr>
                <w:rFonts w:ascii="Arial" w:cs="Arial" w:eastAsia="Arial" w:hAnsi="Arial"/>
                <w:sz w:val="18"/>
                <w:szCs w:val="18"/>
                <w:color w:val="auto"/>
              </w:rPr>
              <w:t>taxes related to unrestricted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Issuance of common stock under</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employee stock purchase plan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Tax benefits from stock-based awards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15,761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15,761</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Dividend payment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(25,506)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(25,506)</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w w:val="99"/>
              </w:rPr>
              <w:t>Accumulated other comprehensive loss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66,341</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66,341</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22,357</w:t>
            </w:r>
          </w:p>
        </w:tc>
        <w:tc>
          <w:tcPr>
            <w:tcW w:w="9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101,277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117,208</w:t>
            </w:r>
          </w:p>
        </w:tc>
      </w:tr>
      <w:tr>
        <w:trPr>
          <w:trHeight w:val="21"/>
        </w:trPr>
        <w:tc>
          <w:tcPr>
            <w:tcW w:w="3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40" w:right="20" w:hanging="462"/>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are no recently issued accounting pronouncements applicable to the Company that have not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as of September 30, 2012.</w:t>
      </w:r>
    </w:p>
    <w:p>
      <w:pPr>
        <w:spacing w:after="0" w:line="197" w:lineRule="exact"/>
        <w:rPr>
          <w:sz w:val="20"/>
          <w:szCs w:val="20"/>
          <w:color w:val="auto"/>
        </w:rPr>
      </w:pPr>
    </w:p>
    <w:p>
      <w:pPr>
        <w:jc w:val="both"/>
        <w:ind w:left="720" w:hanging="421"/>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 of Patent Assets. </w:t>
      </w:r>
      <w:r>
        <w:rPr>
          <w:rFonts w:ascii="Arial" w:cs="Arial" w:eastAsia="Arial" w:hAnsi="Arial"/>
          <w:sz w:val="18"/>
          <w:szCs w:val="18"/>
          <w:color w:val="auto"/>
        </w:rPr>
        <w:t>We recorded gains on the sale of patent assets of $15.2 million and $86.4 million in the three and nine month periods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2012, respectively. Those gains were the result of two separate patent sales that closed in the second and third quarters of 2012. These two patent sales are described below.</w:t>
      </w:r>
    </w:p>
    <w:p>
      <w:pPr>
        <w:spacing w:after="0" w:line="208" w:lineRule="exact"/>
        <w:rPr>
          <w:rFonts w:ascii="Arial" w:cs="Arial" w:eastAsia="Arial" w:hAnsi="Arial"/>
          <w:sz w:val="18"/>
          <w:szCs w:val="18"/>
          <w:color w:val="auto"/>
        </w:rPr>
      </w:pPr>
    </w:p>
    <w:p>
      <w:pPr>
        <w:jc w:val="both"/>
        <w:ind w:left="700"/>
        <w:spacing w:after="0" w:line="259" w:lineRule="auto"/>
        <w:rPr>
          <w:rFonts w:ascii="Arial" w:cs="Arial" w:eastAsia="Arial" w:hAnsi="Arial"/>
          <w:sz w:val="18"/>
          <w:szCs w:val="18"/>
          <w:color w:val="auto"/>
        </w:rPr>
      </w:pPr>
      <w:r>
        <w:rPr>
          <w:rFonts w:ascii="Arial" w:cs="Arial" w:eastAsia="Arial" w:hAnsi="Arial"/>
          <w:sz w:val="18"/>
          <w:szCs w:val="18"/>
          <w:color w:val="auto"/>
        </w:rPr>
        <w:t>On April 26, 2012, we entered into an agreement to sell a portion of our patent portfolio pertaining to wireless technology for $75.0 million. The proceeds from the sale were reduced by $3.8 million of transaction costs, which consisted primarily of fees from the law firm that assisted us in the sale. The transaction closed on June 21, 2012 and a gain of $71.2 million was included in our financial results for the three months ended June 30, 2012.</w:t>
      </w:r>
    </w:p>
    <w:p>
      <w:pPr>
        <w:spacing w:after="0" w:line="213" w:lineRule="exact"/>
        <w:rPr>
          <w:rFonts w:ascii="Arial" w:cs="Arial" w:eastAsia="Arial" w:hAnsi="Arial"/>
          <w:sz w:val="18"/>
          <w:szCs w:val="18"/>
          <w:color w:val="auto"/>
        </w:rPr>
      </w:pPr>
    </w:p>
    <w:p>
      <w:pPr>
        <w:jc w:val="both"/>
        <w:ind w:left="700"/>
        <w:spacing w:after="0" w:line="259" w:lineRule="auto"/>
        <w:rPr>
          <w:rFonts w:ascii="Arial" w:cs="Arial" w:eastAsia="Arial" w:hAnsi="Arial"/>
          <w:sz w:val="18"/>
          <w:szCs w:val="18"/>
          <w:color w:val="auto"/>
        </w:rPr>
      </w:pPr>
      <w:r>
        <w:rPr>
          <w:rFonts w:ascii="Arial" w:cs="Arial" w:eastAsia="Arial" w:hAnsi="Arial"/>
          <w:sz w:val="18"/>
          <w:szCs w:val="18"/>
          <w:color w:val="auto"/>
        </w:rPr>
        <w:t>On August 22, 2012, we entered into an agreement to sell a portion of our patent portfolio pertaining to digital subscriber line (“DSL”) technology for $16.0 million. The proceeds from the sale were reduced by $0.8 million of transaction costs, which also consisted primarily of fees from the law firm that assisted us in the sale. The transaction closed on September 21, 2012 and a gain of $15.2 million was included in our financial results for the three months ended September 30,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left="409"/>
        <w:spacing w:after="0" w:line="259" w:lineRule="auto"/>
        <w:rPr>
          <w:sz w:val="20"/>
          <w:szCs w:val="20"/>
          <w:color w:val="auto"/>
        </w:rPr>
      </w:pPr>
      <w:r>
        <w:rPr>
          <w:rFonts w:ascii="Arial" w:cs="Arial" w:eastAsia="Arial" w:hAnsi="Arial"/>
          <w:sz w:val="18"/>
          <w:szCs w:val="18"/>
          <w:color w:val="auto"/>
        </w:rPr>
        <w:t>The majority of the remaining patents in our patent portfolio relate to our biometrics and imaging and DSL service assurance software product lines. At the current time, we do not intend to pursue patent monetization alternatives for these patents, although that decision is subject to change. We believe that the sale of wireless and DSL patents in the second and third quarters of 2012 will have no material impact on our biometrics and imaging and DSL service assurance product lines.</w:t>
      </w:r>
    </w:p>
    <w:p>
      <w:pPr>
        <w:spacing w:after="0" w:line="210" w:lineRule="exact"/>
        <w:rPr>
          <w:sz w:val="20"/>
          <w:szCs w:val="20"/>
          <w:color w:val="auto"/>
        </w:rPr>
      </w:pPr>
    </w:p>
    <w:p>
      <w:pPr>
        <w:jc w:val="both"/>
        <w:ind w:left="429" w:hanging="413"/>
        <w:spacing w:after="0" w:line="277" w:lineRule="auto"/>
        <w:tabs>
          <w:tab w:leader="none" w:pos="429"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gains on sale of patent assets were primarily responsible for producing $89.2 million of income from continuing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taxes in the nine month period ended September 30, 2012. We used a significant portion our available deferred tax assets to reduce income taxes on year-to-date pre-tax earnings. Income taxes due on pre-tax earnings for the nine months ended September 30, 2012 were $7.7 million. The $5.3 million income tax liability on our balance sheet at September 30, 2012 consisted of $3.8 million of federal income taxes and $1.5 million of state income taxes, after being reduced by $2.4 million of estimated taxes that we paid during the third quarter of 2012.</w:t>
      </w:r>
    </w:p>
    <w:p>
      <w:pPr>
        <w:spacing w:after="0" w:line="199" w:lineRule="exact"/>
        <w:rPr>
          <w:rFonts w:ascii="Arial" w:cs="Arial" w:eastAsia="Arial" w:hAnsi="Arial"/>
          <w:sz w:val="17"/>
          <w:szCs w:val="17"/>
          <w:color w:val="auto"/>
        </w:rPr>
      </w:pPr>
    </w:p>
    <w:p>
      <w:pPr>
        <w:jc w:val="both"/>
        <w:ind w:left="429"/>
        <w:spacing w:after="0" w:line="279" w:lineRule="auto"/>
        <w:rPr>
          <w:rFonts w:ascii="Arial" w:cs="Arial" w:eastAsia="Arial" w:hAnsi="Arial"/>
          <w:sz w:val="17"/>
          <w:szCs w:val="17"/>
          <w:color w:val="auto"/>
        </w:rPr>
      </w:pPr>
      <w:r>
        <w:rPr>
          <w:rFonts w:ascii="Arial" w:cs="Arial" w:eastAsia="Arial" w:hAnsi="Arial"/>
          <w:sz w:val="17"/>
          <w:szCs w:val="17"/>
          <w:color w:val="auto"/>
        </w:rPr>
        <w:t>A substantial portion of the deferred tax assets we utilized comprised cumulative deductions for stock options in excess of book expense. Under income tax accounting rules, that portion of tax benefits attributable to such deductions must be recorded as an adjustment to equity versus a reduction of income tax expense. In the three and nine months ended September 30, 2012, the tax benefits from such stock-based awards were $3.1 million and $15.8 million, which we recorded as an equity adjustment to additional paid-in capital.</w:t>
      </w:r>
    </w:p>
    <w:p>
      <w:pPr>
        <w:spacing w:after="0" w:line="198" w:lineRule="exact"/>
        <w:rPr>
          <w:rFonts w:ascii="Arial" w:cs="Arial" w:eastAsia="Arial" w:hAnsi="Arial"/>
          <w:sz w:val="17"/>
          <w:szCs w:val="17"/>
          <w:color w:val="auto"/>
        </w:rPr>
      </w:pPr>
    </w:p>
    <w:p>
      <w:pPr>
        <w:jc w:val="both"/>
        <w:ind w:left="409"/>
        <w:spacing w:after="0" w:line="257" w:lineRule="auto"/>
        <w:rPr>
          <w:rFonts w:ascii="Arial" w:cs="Arial" w:eastAsia="Arial" w:hAnsi="Arial"/>
          <w:sz w:val="17"/>
          <w:szCs w:val="17"/>
          <w:color w:val="auto"/>
        </w:rPr>
      </w:pPr>
      <w:r>
        <w:rPr>
          <w:rFonts w:ascii="Arial" w:cs="Arial" w:eastAsia="Arial" w:hAnsi="Arial"/>
          <w:sz w:val="18"/>
          <w:szCs w:val="18"/>
          <w:color w:val="auto"/>
        </w:rPr>
        <w:t>Total income tax expense for the three months ended September 30, 2012 was $6.7 million, including $6.6 million that was recorded in continuing operations and $0.1 million that was recorded in discontinued operations. Total income tax expense for the nine months ended September 30, 2012 was $23.5 million, including $23.2 million that was recorded in continuing operations and $0.3 million that was recorded in discontinued operations. The Company’s actual tax liability for the first nine months of 2012 was $7.7 million as taxes that are currently payable were reduced by the $15.8 million equity adjustment mentioned above.</w:t>
      </w:r>
    </w:p>
    <w:p>
      <w:pPr>
        <w:spacing w:after="0" w:line="215" w:lineRule="exact"/>
        <w:rPr>
          <w:sz w:val="20"/>
          <w:szCs w:val="20"/>
          <w:color w:val="auto"/>
        </w:rPr>
      </w:pPr>
    </w:p>
    <w:p>
      <w:pPr>
        <w:jc w:val="both"/>
        <w:ind w:left="409" w:right="20"/>
        <w:spacing w:after="0" w:line="286" w:lineRule="auto"/>
        <w:rPr>
          <w:sz w:val="20"/>
          <w:szCs w:val="20"/>
          <w:color w:val="auto"/>
        </w:rPr>
      </w:pPr>
      <w:r>
        <w:rPr>
          <w:rFonts w:ascii="Arial" w:cs="Arial" w:eastAsia="Arial" w:hAnsi="Arial"/>
          <w:sz w:val="17"/>
          <w:szCs w:val="17"/>
          <w:color w:val="auto"/>
        </w:rPr>
        <w:t>We continue to record a full valuation allowance against our remaining deferred tax assets because 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w:t>
      </w:r>
    </w:p>
    <w:p>
      <w:pPr>
        <w:spacing w:after="0" w:line="193" w:lineRule="exact"/>
        <w:rPr>
          <w:sz w:val="20"/>
          <w:szCs w:val="20"/>
          <w:color w:val="auto"/>
        </w:rPr>
      </w:pPr>
    </w:p>
    <w:p>
      <w:pPr>
        <w:jc w:val="both"/>
        <w:ind w:left="389"/>
        <w:spacing w:after="0" w:line="259" w:lineRule="auto"/>
        <w:rPr>
          <w:sz w:val="20"/>
          <w:szCs w:val="20"/>
          <w:color w:val="auto"/>
        </w:rPr>
      </w:pPr>
      <w:r>
        <w:rPr>
          <w:rFonts w:ascii="Arial" w:cs="Arial" w:eastAsia="Arial" w:hAnsi="Arial"/>
          <w:sz w:val="18"/>
          <w:szCs w:val="18"/>
          <w:color w:val="auto"/>
        </w:rPr>
        <w:t>Included in total deferred tax assets at September 30, 2012 is approximately $11.8 million of federal and state research credit carryforwards. As mentioned above, the Company has provided a full valuation allowance against these carryforwards, based on the uncertainty surrounding the realization of these assets. In addition, in connection with a detailed review of the prior year credits, the Company has determined that up to $7.7 million of these credit carryforwards represent an uncertain tax position.</w:t>
      </w:r>
    </w:p>
    <w:p>
      <w:pPr>
        <w:spacing w:after="0" w:line="214" w:lineRule="exact"/>
        <w:rPr>
          <w:sz w:val="20"/>
          <w:szCs w:val="20"/>
          <w:color w:val="auto"/>
        </w:rPr>
      </w:pPr>
    </w:p>
    <w:p>
      <w:pPr>
        <w:ind w:left="429" w:right="20"/>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197" w:lineRule="exact"/>
        <w:rPr>
          <w:sz w:val="20"/>
          <w:szCs w:val="20"/>
          <w:color w:val="auto"/>
        </w:rPr>
      </w:pPr>
    </w:p>
    <w:p>
      <w:pPr>
        <w:ind w:left="449" w:right="20" w:hanging="449"/>
        <w:spacing w:after="0" w:line="277" w:lineRule="auto"/>
        <w:tabs>
          <w:tab w:leader="none" w:pos="44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In April 2012, our board of directors declared a special cash dividend of $1.15 per share. The dividend was paid on May 25, 2012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of record as of May 11, 2012. The total amount of the dividend paid was $25.5 million.</w:t>
      </w:r>
    </w:p>
    <w:p>
      <w:pPr>
        <w:spacing w:after="0" w:line="197" w:lineRule="exact"/>
        <w:rPr>
          <w:rFonts w:ascii="Arial" w:cs="Arial" w:eastAsia="Arial" w:hAnsi="Arial"/>
          <w:sz w:val="18"/>
          <w:szCs w:val="18"/>
          <w:color w:val="auto"/>
        </w:rPr>
      </w:pPr>
    </w:p>
    <w:p>
      <w:pPr>
        <w:jc w:val="both"/>
        <w:ind w:left="449" w:hanging="446"/>
        <w:spacing w:after="0" w:line="255" w:lineRule="auto"/>
        <w:tabs>
          <w:tab w:leader="none" w:pos="44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Variable Interest Entity. </w:t>
      </w:r>
      <w:r>
        <w:rPr>
          <w:rFonts w:ascii="Arial" w:cs="Arial" w:eastAsia="Arial" w:hAnsi="Arial"/>
          <w:sz w:val="18"/>
          <w:szCs w:val="18"/>
          <w:color w:val="auto"/>
        </w:rPr>
        <w:t>In previous periods, we disclosed that we had a patent arrangement with a third party that we classified as a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entity. We also disclosed that: i) we had no equity interest in this entity; ii) we were not contractually obligated to fund this entity, therefore our maximum exposure to loss as a result of our involvement with this entity was zero; iii) we may receive royalties in the future if certain conditions are met; iv) we were not the primary beneficiary of this entity; v) we have not consolidated this entity’s results into our financial statements, therefore we carried the assets and liabilities of this entity in our balance sheet at zero; and vi) this arrangement has had no impact on our results of operations, financial position or cash flows in any previous periods.</w:t>
      </w:r>
    </w:p>
    <w:p>
      <w:pPr>
        <w:spacing w:after="0" w:line="369"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9"/>
          </w:cols>
          <w:pgMar w:left="511" w:top="517" w:right="239" w:bottom="1440" w:gutter="0" w:footer="0" w:header="0"/>
        </w:sectPr>
      </w:pPr>
    </w:p>
    <w:bookmarkStart w:id="11" w:name="page12"/>
    <w:bookmarkEnd w:id="11"/>
    <w:p>
      <w:pPr>
        <w:jc w:val="both"/>
        <w:ind w:left="340"/>
        <w:spacing w:after="0" w:line="255" w:lineRule="auto"/>
        <w:rPr>
          <w:sz w:val="20"/>
          <w:szCs w:val="20"/>
          <w:color w:val="auto"/>
        </w:rPr>
      </w:pPr>
      <w:r>
        <w:rPr>
          <w:rFonts w:ascii="Arial" w:cs="Arial" w:eastAsia="Arial" w:hAnsi="Arial"/>
          <w:sz w:val="18"/>
          <w:szCs w:val="18"/>
          <w:color w:val="auto"/>
        </w:rPr>
        <w:t>During the three months ended September 30, 2012, certain contractual provisions of the arrangement were amended. As a result, the arrangement is no longer considered a variable interest entity under generally accepted accounting principles, and we shall no longer classify it as such. This arrangement had no impact on our results of operations, financial position or cash flows, including the three and nine month periods ended September 30, 2012 and 2011. We are unable to predict whether we will receive any meaningful income from this arrangement in future periods, because such a prediction is inherently uncertain. If this arrangement generates material income to us in future quarters, we will report such income in the quarters in which it is earned.</w:t>
      </w:r>
    </w:p>
    <w:p>
      <w:pPr>
        <w:spacing w:after="0" w:line="220" w:lineRule="exact"/>
        <w:rPr>
          <w:sz w:val="20"/>
          <w:szCs w:val="20"/>
          <w:color w:val="auto"/>
        </w:rPr>
      </w:pPr>
    </w:p>
    <w:p>
      <w:pPr>
        <w:jc w:val="both"/>
        <w:ind w:left="340" w:hanging="332"/>
        <w:spacing w:after="0" w:line="27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In January 2012, our Board of Directors approved the shutdown of our DSL service assurance hardware product line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a component of our DSL Service Assurance Segment. We continued to build and ship DSL service assurance hardware products to satisfy final customer orders during the three and nine month periods ended September 30, 2012. During the third quarter of 2012, we substantially completed the shutdown and we will no longer have any significant continuing involvement or cash flows from this product line. Accordingly, we began reporting the results of our DSL service assurance hardware product line as discontinued operations in the third quarter of 2012.</w:t>
      </w:r>
    </w:p>
    <w:p>
      <w:pPr>
        <w:spacing w:after="0" w:line="19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Income (loss) from discontinued operations attributable to the DSL service assurance hardware product line was (in thousands):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418"/>
        </w:trPr>
        <w:tc>
          <w:tcPr>
            <w:tcW w:w="5680" w:type="dxa"/>
            <w:vAlign w:val="bottom"/>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tcPr>
          <w:p>
            <w:pPr>
              <w:jc w:val="right"/>
              <w:ind w:right="6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724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2,809</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4,355</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364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4,879</w:t>
            </w:r>
          </w:p>
        </w:tc>
      </w:tr>
      <w:tr>
        <w:trPr>
          <w:trHeight w:val="202"/>
        </w:trPr>
        <w:tc>
          <w:tcPr>
            <w:tcW w:w="5680" w:type="dxa"/>
            <w:vAlign w:val="bottom"/>
          </w:tcPr>
          <w:p>
            <w:pPr>
              <w:ind w:left="160"/>
              <w:spacing w:after="0" w:line="201" w:lineRule="exact"/>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3"/>
              </w:rPr>
              <w:t>360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(524)</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143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1"/>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There were $286,000 of assets and $20,000 of liabilities remaining on the balance sheet as of September 30, 2012 related to the DSL service assurance hardware product line. Approximately $273,000 of the total asset amount represents accounts receivable that were collected in the first week of October 2012. The liability amount represents a warranty reserve for potential product returns under customer warranty rights.</w:t>
      </w:r>
    </w:p>
    <w:p>
      <w:pPr>
        <w:spacing w:after="0" w:line="19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incurred one-time costs related to the shutdown of approximately $282,000, the majority of which were severance and employee-related costs. Such costs were included in income from discontinued operations during the nine month period ended September 30, 2012. The following table is a rollfoward of our exit cost liability account, which was included in the accrued compensation line of our balance sheet.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w w:val="90"/>
              </w:rPr>
              <w:t>Three Months Ended</w:t>
            </w:r>
          </w:p>
        </w:tc>
        <w:tc>
          <w:tcPr>
            <w:tcW w:w="4560" w:type="dxa"/>
            <w:vAlign w:val="bottom"/>
          </w:tcPr>
          <w:p>
            <w:pPr>
              <w:spacing w:after="0"/>
              <w:rPr>
                <w:sz w:val="20"/>
                <w:szCs w:val="20"/>
                <w:color w:val="auto"/>
              </w:rPr>
            </w:pPr>
          </w:p>
        </w:tc>
      </w:tr>
      <w:tr>
        <w:trPr>
          <w:trHeight w:val="198"/>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March</w:t>
            </w:r>
          </w:p>
        </w:tc>
        <w:tc>
          <w:tcPr>
            <w:tcW w:w="360" w:type="dxa"/>
            <w:vAlign w:val="bottom"/>
          </w:tcPr>
          <w:p>
            <w:pPr>
              <w:spacing w:after="0"/>
              <w:rPr>
                <w:sz w:val="17"/>
                <w:szCs w:val="17"/>
                <w:color w:val="auto"/>
              </w:rPr>
            </w:pPr>
          </w:p>
        </w:tc>
        <w:tc>
          <w:tcPr>
            <w:tcW w:w="104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rPr>
              <w:t>June</w:t>
            </w:r>
          </w:p>
        </w:tc>
        <w:tc>
          <w:tcPr>
            <w:tcW w:w="200" w:type="dxa"/>
            <w:vAlign w:val="bottom"/>
          </w:tcPr>
          <w:p>
            <w:pPr>
              <w:spacing w:after="0"/>
              <w:rPr>
                <w:sz w:val="17"/>
                <w:szCs w:val="17"/>
                <w:color w:val="auto"/>
              </w:rPr>
            </w:pPr>
          </w:p>
        </w:tc>
        <w:tc>
          <w:tcPr>
            <w:tcW w:w="12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September</w:t>
            </w:r>
          </w:p>
        </w:tc>
        <w:tc>
          <w:tcPr>
            <w:tcW w:w="4560" w:type="dxa"/>
            <w:vAlign w:val="bottom"/>
          </w:tcPr>
          <w:p>
            <w:pPr>
              <w:spacing w:after="0"/>
              <w:rPr>
                <w:sz w:val="17"/>
                <w:szCs w:val="17"/>
                <w:color w:val="auto"/>
              </w:rPr>
            </w:pPr>
          </w:p>
        </w:tc>
      </w:tr>
      <w:tr>
        <w:trPr>
          <w:trHeight w:val="241"/>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31, 2012</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30, 2012</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30, 2012</w:t>
            </w:r>
          </w:p>
        </w:tc>
        <w:tc>
          <w:tcPr>
            <w:tcW w:w="4560" w:type="dxa"/>
            <w:vAlign w:val="bottom"/>
          </w:tcPr>
          <w:p>
            <w:pPr>
              <w:spacing w:after="0"/>
              <w:rPr>
                <w:sz w:val="20"/>
                <w:szCs w:val="20"/>
                <w:color w:val="auto"/>
              </w:rPr>
            </w:pPr>
          </w:p>
        </w:tc>
      </w:tr>
      <w:tr>
        <w:trPr>
          <w:trHeight w:val="418"/>
        </w:trPr>
        <w:tc>
          <w:tcPr>
            <w:tcW w:w="2540" w:type="dxa"/>
            <w:vAlign w:val="bottom"/>
          </w:tcPr>
          <w:p>
            <w:pPr>
              <w:ind w:left="340"/>
              <w:spacing w:after="0"/>
              <w:rPr>
                <w:sz w:val="20"/>
                <w:szCs w:val="20"/>
                <w:color w:val="auto"/>
              </w:rPr>
            </w:pPr>
            <w:r>
              <w:rPr>
                <w:rFonts w:ascii="Arial" w:cs="Arial" w:eastAsia="Arial" w:hAnsi="Arial"/>
                <w:sz w:val="18"/>
                <w:szCs w:val="18"/>
                <w:color w:val="auto"/>
              </w:rPr>
              <w:t>Beginning liability balance</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4560" w:type="dxa"/>
            <w:vAlign w:val="bottom"/>
          </w:tcPr>
          <w:p>
            <w:pPr>
              <w:spacing w:after="0"/>
              <w:rPr>
                <w:sz w:val="24"/>
                <w:szCs w:val="24"/>
                <w:color w:val="auto"/>
              </w:rPr>
            </w:pPr>
          </w:p>
        </w:tc>
      </w:tr>
      <w:tr>
        <w:trPr>
          <w:trHeight w:val="216"/>
        </w:trPr>
        <w:tc>
          <w:tcPr>
            <w:tcW w:w="2540" w:type="dxa"/>
            <w:vAlign w:val="bottom"/>
          </w:tcPr>
          <w:p>
            <w:pPr>
              <w:ind w:left="34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r>
      <w:tr>
        <w:trPr>
          <w:trHeight w:val="237"/>
        </w:trPr>
        <w:tc>
          <w:tcPr>
            <w:tcW w:w="2540" w:type="dxa"/>
            <w:vAlign w:val="bottom"/>
          </w:tcPr>
          <w:p>
            <w:pPr>
              <w:ind w:left="340"/>
              <w:spacing w:after="0"/>
              <w:rPr>
                <w:sz w:val="20"/>
                <w:szCs w:val="20"/>
                <w:color w:val="auto"/>
              </w:rPr>
            </w:pPr>
            <w:r>
              <w:rPr>
                <w:rFonts w:ascii="Arial" w:cs="Arial" w:eastAsia="Arial" w:hAnsi="Arial"/>
                <w:sz w:val="18"/>
                <w:szCs w:val="18"/>
                <w:color w:val="auto"/>
              </w:rPr>
              <w:t>Utilization</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560" w:type="dxa"/>
            <w:vAlign w:val="bottom"/>
          </w:tcPr>
          <w:p>
            <w:pPr>
              <w:spacing w:after="0"/>
              <w:rPr>
                <w:sz w:val="20"/>
                <w:szCs w:val="20"/>
                <w:color w:val="auto"/>
              </w:rPr>
            </w:pPr>
          </w:p>
        </w:tc>
      </w:tr>
      <w:tr>
        <w:trPr>
          <w:trHeight w:val="216"/>
        </w:trPr>
        <w:tc>
          <w:tcPr>
            <w:tcW w:w="2540" w:type="dxa"/>
            <w:vAlign w:val="bottom"/>
          </w:tcPr>
          <w:p>
            <w:pPr>
              <w:ind w:left="340"/>
              <w:spacing w:after="0"/>
              <w:rPr>
                <w:sz w:val="20"/>
                <w:szCs w:val="20"/>
                <w:color w:val="auto"/>
              </w:rPr>
            </w:pPr>
            <w:r>
              <w:rPr>
                <w:rFonts w:ascii="Arial" w:cs="Arial" w:eastAsia="Arial" w:hAnsi="Arial"/>
                <w:sz w:val="18"/>
                <w:szCs w:val="18"/>
                <w:color w:val="auto"/>
              </w:rPr>
              <w:t>Ending liability balance</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4560" w:type="dxa"/>
            <w:vAlign w:val="bottom"/>
          </w:tcPr>
          <w:p>
            <w:pPr>
              <w:spacing w:after="0"/>
              <w:rPr>
                <w:sz w:val="18"/>
                <w:szCs w:val="18"/>
                <w:color w:val="auto"/>
              </w:rPr>
            </w:pPr>
          </w:p>
        </w:tc>
      </w:tr>
      <w:tr>
        <w:trPr>
          <w:trHeight w:val="21"/>
        </w:trPr>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01"/>
        </w:trPr>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12</w:t>
            </w:r>
          </w:p>
        </w:tc>
        <w:tc>
          <w:tcPr>
            <w:tcW w:w="4560" w:type="dxa"/>
            <w:vAlign w:val="bottom"/>
          </w:tcPr>
          <w:p>
            <w:pPr>
              <w:spacing w:after="0"/>
              <w:rPr>
                <w:sz w:val="24"/>
                <w:szCs w:val="24"/>
                <w:color w:val="auto"/>
              </w:rPr>
            </w:pPr>
          </w:p>
        </w:tc>
      </w:tr>
      <w:tr>
        <w:trPr>
          <w:trHeight w:val="108"/>
        </w:trPr>
        <w:tc>
          <w:tcPr>
            <w:tcW w:w="2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2011,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Summary of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been a supplier of signal processing and digital communications technology for imaging and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since the early 1990s. Presently, our business operations are focused along three product lines: i) biometrics and imaging; ii) DSL service assurance; and iii) patent management, which is included in our Corporate segment.</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Biometrics &amp; Imaging. </w:t>
      </w:r>
      <w:r>
        <w:rPr>
          <w:rFonts w:ascii="Arial" w:cs="Arial" w:eastAsia="Arial" w:hAnsi="Arial"/>
          <w:sz w:val="17"/>
          <w:szCs w:val="17"/>
          <w:color w:val="auto"/>
        </w:rPr>
        <w:t>Our biometrics products consist of software and services used in biometric systems, and our imaging products consist of software used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in medical imaging applications. Biometrics systems are used in applications such as law enforcement, border control, national defense, secure credentialing, access control and background checks. We typically sell our biometrics software and services to: i) systems integrators that incorporate our software products into biometrics systems that they are developing on behalf of their customers; ii) OEMs that incorporate our products into their biometrics hardware and software solutions; and iii) directly to government agencies that are deploying biometrics systems. Our imaging software is primarily sold to OEMs and systems integrators that incorporate our software into their medical and imaging products.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DSL Service Assurance. </w:t>
      </w:r>
      <w:r>
        <w:rPr>
          <w:rFonts w:ascii="Arial" w:cs="Arial" w:eastAsia="Arial" w:hAnsi="Arial"/>
          <w:sz w:val="17"/>
          <w:szCs w:val="17"/>
          <w:color w:val="auto"/>
        </w:rPr>
        <w:t>Our DSL service assurance products consist of DSL software products that are used by telephone companies to improve the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their DSL service offerings. We sell our DSL service assurance software products through OEMs and directly to telephone companies.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Patent Management</w:t>
      </w:r>
      <w:r>
        <w:rPr>
          <w:rFonts w:ascii="Arial" w:cs="Arial" w:eastAsia="Arial" w:hAnsi="Arial"/>
          <w:sz w:val="18"/>
          <w:szCs w:val="18"/>
          <w:color w:val="auto"/>
        </w:rPr>
        <w:t>. As previously disclosed, we have been executing a strategy to monetize a significant portion of our patent portfolio unrelated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biometrics and DSL service assurance product lines. Those activities have produced two significant patent sales in the second and third quarters of 2012, which are described below:</w:t>
      </w:r>
    </w:p>
    <w:p>
      <w:pPr>
        <w:spacing w:after="0" w:line="208"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April 26, 2012, we entered into an agreement to sell a portion of our patent portfolio pertaining to wireless technology for $75.0 million. The proceeds from the sale were reduced by $3.8 million of transaction costs, which consisted primarily of fees from the law firm that assisted us in the sale. The transaction closed on June 21, 2012 and a gain of $71.2 million was included in our financial results for the three months ended June 30, 2012.</w:t>
      </w:r>
    </w:p>
    <w:p>
      <w:pPr>
        <w:spacing w:after="0" w:line="17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August 22, 2012, we entered into an agreement to sell a portion of our patent portfolio pertaining to digital subscriber line (“DSL”) technology for $16.0 million. The proceeds from the sale were reduced by $0.8 million of transaction costs, which also consisted primarily of fees from the law firm that assisted us in the sale. The transaction closed on September 21, 2012 and a gain of 15.2 million was included in our financial results for the three months ended September 30,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The majority of the remaining patents in our patent portfolio relate to our biometrics and imaging and DSL service assurance software product lines. At the current time, we do not intend to pursue patent monetization alternatives for these patents, although that decision is subject to change.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wireless and DSL patent sales will have no material impact on our biometrics and imaging and DSL service assurance software product lines.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November 2009, we were also a supplier of DSL silicon intellectual property to the semiconductor industry. We continue to receive royalties from two customers that use our DSL silicon IP in their DSL chipsets.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Discontinued Operations</w:t>
      </w:r>
      <w:r>
        <w:rPr>
          <w:rFonts w:ascii="Arial" w:cs="Arial" w:eastAsia="Arial" w:hAnsi="Arial"/>
          <w:sz w:val="17"/>
          <w:szCs w:val="17"/>
          <w:color w:val="auto"/>
        </w:rPr>
        <w:t>. In January 2012, our Board of Directors approved the shutdown of our DSL service assurance hardware product line which was a</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our DSL Service Assurance Segment. We continued to build and ship DSL service assurance hardware products to satisfy final customer orders during the three and nine month periods ended September 30, 2012. During the third quarter of 2012, we substantially completed the shutdown and we will no longer have any significant continuing involvement or cash flows from this product line. Accordingly, we began reporting the results of our DSL service assurance hardware product line as discontinued operations in the third quarter of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discontinued operations attributable to the DSL service assurance hardware product line was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2,809</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4,355</w:t>
            </w: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4,879</w:t>
            </w:r>
          </w:p>
        </w:tc>
      </w:tr>
      <w:tr>
        <w:trPr>
          <w:trHeight w:val="202"/>
        </w:trPr>
        <w:tc>
          <w:tcPr>
            <w:tcW w:w="5520" w:type="dxa"/>
            <w:vAlign w:val="bottom"/>
          </w:tcPr>
          <w:p>
            <w:pPr>
              <w:ind w:left="160"/>
              <w:spacing w:after="0" w:line="201" w:lineRule="exact"/>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360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(524)</w:t>
            </w: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1"/>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$286,000 of assets and $20,000 of liabilities remaining on the balance sheet as of September 30, 2012 related to the DSL service assurance hardware product line.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income from discontinued operations for the nine months ended September 30, 2012 was approximately $282,000 of one-time shutdown costs, the majority of which were severance and employee-related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from continuing operations for the three months ended September 30, 2012 was $10.1 million, or $0.45 per diluted share, which compares to net income from continuing operations of $1.6 million, or $0.08 per diluted share, for the three months ended September 30,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from continuing operations for the nine months ended September 30, 2012 was $66.0 million, or $3.01 per diluted share, which compares to net income from continuing operations of $2.1 million, or $0.10 per diluted share, for the nine months ended September 30, 2011.</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Higher net income from continuing operations in three and nine month periods ended September 30, 2012 versus the corresponding periods in 2011 was primarily a result of gains on the sale of patent assets. Operating income before gain on the sale of patent assets in the three and nine month periods ended September 30, 2011 and 2012 was comparable in both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software products. Software products consist of software licenses and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for biometrics, medical imaging, and DSL service assurance applications.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sales increased 4% from $3.9 million in the three months ended September 30, 2011 to $4.0 million in the same three month period in 2012. As a percentage of total revenue, product sales increased from 72% in the third quarter of 2011 to 77% in the current year quarter. The dollar increase in product sales was primarily due to a $0.2 million increase in revenue from the sale of biometrics and imaging software which was partially offset by a $0.1 million decrease in revenue from the sale of DSL service assurance software.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sales increased 10% from $9.6 million in the nine months ended September 30, 2011 to $10.5 million in the same nine month period in 2012. As a percentage of total revenue, product sales increased from 67% in the first nine months of 2011 to 74% in the corresponding period of 2012. The dollar increase in product sales was primarily due to a $1.6 million increase in revenue from the sale of biometrics and imaging software which was partially offset by a $0.7 million decrease in revenue from the sale of DSL service assurance software.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Increases in revenue from the sale of biometrics and imaging software in the three and nine month periods ended September 30, 2012 versus the corresponding periods in 2011 were primarily due to larger-sized license transactions as a result of our channel partners purchasing licenses for their end user customers projects. In addition, in the third quarter of 2012 we had a large direct license sale to a U.S. government customer.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Decreases in revenue from the sale of DSL service assurance software in the three and nine month periods ended September 30, 2012 were primarily due to a lack of any significant sales of our LDP product during the three and nine month periods of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primarily consist of engineering service fees related to: i) our biometrics and imaging product line; ii) our DSL service assurance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and iii) a legacy DSL silicon contract.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decreased 25% from $1.0 million in the three months ended September 30, 2011 to $0.7 million in the same three month period in 2012. As a percentage of total revenue, services decreased from 18% in the third quarter of 2011 to 14% in the current year quarter. The dollar decrease in services sales was primarily due to a $0.2 million decrease in revenue from the sale of biometrics engineering services; a $46,000 decrease in revenue from the sale of DSL service assurance engineering services; and a $47,000 decrease in revenue from the sale of legacy DSL silicon services.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decreased 34% from $3.2 million in the first nine months of 2011 to $2.1 million in the same nine month period in 2012. As a percentage of total revenue, services decreased from 22% in the first nine months of 2011 to 15% in the corresponding period of 2012. The dollar decrease in services sales was primarily due to a $0.8 million decrease in revenue from the sale of biometrics engineering services; a $0.2 million decrease in revenue from the sale of DSL service assurance engineering services; and a $47,000 decrease in revenue from the sale of legacy DSL silicon services.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Decreases in revenue from biometrics engineering services in the three and nine month periods ended September 30, 2012 were primarily due to two factors:</w:t>
      </w:r>
    </w:p>
    <w:p>
      <w:pPr>
        <w:spacing w:after="0" w:line="46" w:lineRule="exact"/>
        <w:rPr>
          <w:sz w:val="20"/>
          <w:szCs w:val="20"/>
          <w:color w:val="auto"/>
        </w:rPr>
      </w:pPr>
    </w:p>
    <w:p>
      <w:pPr>
        <w:jc w:val="both"/>
        <w:ind w:firstLine="8"/>
        <w:spacing w:after="0" w:line="255" w:lineRule="auto"/>
        <w:tabs>
          <w:tab w:leader="none" w:pos="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had two large projects with U.S. government customers in 2011, one of which ended in late 2011, and the other has been winding down in 2012; and ii) we had fewer larger projects with other customers in 2012. While we are attempting to grow our biometrics services business, we are unable to predict whether services revenue will trend upward or downward in future periods as we continue to develop this business.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Decreases in revenue from DSL service assurance engineering services in the three and nine month periods ended September 30, 2012 were primarily due to no significant LDP product sales during these periods.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Royalties decreased 12% from $549,000 in the three months ended September 30, 2011 to $484,000 in the same three month period in 2012. As a percentage of total revenue, royalties decreased from 10% in the third quarter of 2011 to 9% in the current year quarter. The dollar decrease in royalties was primarily due to lower DSL royalties reported to us by both of our licensees.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Royalties increased 4% from $1.54 million in the first nine months of 2011 to $1.60 million in the same nine month period in 2012. As a percentage of total revenue, royalties were unchanged at 11% in the first nine months of 2011 and 2012. The dollar increase in royalties was primarily due to higher DSL royalties reported to us by one of our licensees, which was partially offset by lower royalties from our other licensee.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royalty revenue currently comes predominantly from DSL chipset sales by Ikanos Communications, Inc. (“Ikanos”) and Lantiq Deutschland GmbH (“Lantiq”). The sale of our DSL silicon IP assets in November 2009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Accordingly, we are unable to predict whether royalties reported by our licensees will trend upward or downward in future periods.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complete customer engineering projects. Such costs primarily include: i)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stock-based compensation, fringe benefits, and facilities; and ii) engineering consultants and contractors.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increased 2% from $414,000 in the three months ended September 30, 2011 to $421,000 in the same three month period in 2012. Cost of services as a percentage of services increased from 43% in the third quarter of 2011 to 58% in the current quarter, which means that gross margins on services decreased from 57% to 42%.</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 period, the dollar increase in cost of services was primarily due to higher costs associated with delivering biometrics engineering services despite declining services revenue. Higher biometrics services costs were partially offset by lower DSL service assurance and legacy DSL silicon cost of services. Higher biometrics engineering services costs and the corresponding decrease in gross margins on services was primarily due to the mix of engineering service projects. The profitability of service revenue is affected by the size and profitability of individual customer projects.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7% from $1.2 million in the nine months ended September 30, 2011 to $1.1 million in the same nine month period of 2012. Cost of services as a percentage of services increased from 38% in the first nine months of 2011 to 54% in the corresponding period of 2012, which means that gross margins on services decreased from 62% to 46%.</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 period, the dollar decrease in cost of services was primarily due to a decrease in revenue from biometrics engineering, DSL service assurance, and legacy DSL silicon services as described in the Services section above. The decrease in gross margins on services was primarily due to the mix of engineering service projects. The profitability of service revenue is affected by the size and profitability of individual customer projects that comprise service revenue in any particular quarter.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technology, products and patents related to our various product lines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rPr>
              <w:t>4,431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4,063</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5,284</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8% from $1.4 million in the three months ended September 30, 2011 to $1.5 million in the same three month period in 2012. As a percentage of total revenue, research and development expense increased from 25% in the third quarter of 2011 to 28% in the corresponding period of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dollar increase in research and development expense was primarily due to higher spending in our biometrics engineering organization. Higher biometrics engineering spending was the result of headcount additions and third party contractor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9% from $4.1 million in the nine months ended September 30, 2011 to $4.4 million in the same nine month period in 2012. As a percentage of total revenue, research and development expense increased from 28% in the first nine months of 2011 to 31% in the corresponding period of 2012.</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dollar increase in research and development expense was primarily due to higher spending in our biometrics engineering organization; and ii) less engineering costs classified as cost of services as presented in the table above. Higher biometrics engineering spending was the result of headcount additions and third party contractor expenses. Less engineering costs were classified to cost of services because of a decrease in biometrics engineering services revenue.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activities are focused primarily on developing biometrics and imaging software, and DSL service assurance software.</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marketing expense increased 9% from $1.0 million for the three months ended September 30, 2011 to $1.1 million for the same three month period in 2012. As a percentage of total revenue, sales and marketing expense increased from 18% in the third quarter of 2011 to 20% in the corresponding period of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dollar increase in sales and marketing expense was primarily due to higher spending in our biometrics sales organization. Higher biometrics and imaging sales spending was the result of headcount additions, higher commissions, and third party agents.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marketing expense increased 8% from $2.9 million for the nine months ended September 30, 2011 to $3.1 million for the same nine month period in 2012. As a percentage of total revenue, sales and marketing expense increased from 20% in the first nine months of 2011 to 22% in the corresponding period of 2012.</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dollar increase in sales and marketing expense was primarily due to: i) higher spending in our biometrics sales organization due to headcount additions, higher commissions and third party agents; and ii) higher employee and travel costs related to the sale of patents. Higher sales spending related to these two factors was partially offset by lower expenses in our DSL service assurance sales and marketing organization, which was primarily due to headcount attrition.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21% from $1.1 million in the three months ended September 30, 2011 to $0.9 million in the same three month period in 2012. As a percentage of total revenue, general and administrative expense decreased from 20% in the third quarter of 2011 to 16% in the current year quarter.</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 period, the dollar decrease in general and administrative expense was primarily due to lower expenses related to: i) consulting expenses for our former CEO; and ii) salary and other expenses for our former Chairman. We entered into a consulting contract with our former CEO upon his exit from the Company in April 2011 that ended on September 30, 2011. There were costs associated with that consulting contract in 2011, but not in 2012. In the fourth quarter of 2011, our former Chairman’s title and role were changed to focus his activities on selling our patents. As a result of that change, we began classifying his salary, stock-based compensation and other expenses to sales and marketing expense instead of general and administrative expense, which resulted in the exclusion of such costs in general and administrative expenses in 2012.</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28% from $4.1 million in the nine months ended September 30, 2011 to $2.9 million in the same nine month period in 2012. As a percentage of total revenue, general and administrative expense decreased from 28% in the first nine months of 2011 to 21% in the corresponding period of 2012.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 period, the dollar decrease in general and administrative expense was primarily due to: i) lower expenses related to our former CEO; ii) lower expenses related to our former Chairman; and iii) lower stock-based compensation expenses for other members of senior management and our administrative staff. Lower general and administrative expenses related to these three factors were partially offset by higher third party tax accounting fees to assist us with the tax accounting on gains on patent asset sales. The nine months ended September 30, 2011 included: i) $0.8 million of salary, severance, stock-based compensation, and consulting expenses for our former CEO; and ii) $0.5 million of salary, stock-based compensation, and other expenses for our former Chairman whose expenses were classified as sales and marketing expense commencing in the fourth quarter of 2011 when his title and role changed as described above.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Gain on Sale of Patent Assets. </w:t>
      </w:r>
      <w:r>
        <w:rPr>
          <w:rFonts w:ascii="Arial" w:cs="Arial" w:eastAsia="Arial" w:hAnsi="Arial"/>
          <w:sz w:val="18"/>
          <w:szCs w:val="18"/>
          <w:color w:val="auto"/>
        </w:rPr>
        <w:t>In the three months ended September 30, 2012, we recorded a $15.2 million gain from the sale of patents pertaining to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Gross sale proceeds of $16.0 million were reduced by $0.8 million of transaction costs which consisted primarily of fees from the law firm that assisted us with the sale.</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2012, we recorded $86.4 million of gains on the sale of patents. The total gain represented two separate patent sales, including the DSL patent sale described in the previous paragraph and a $71.2 million gain from the sale of patents pertaining to wireless technology that we recorded in the second quarter of 2012. Gross sale proceeds from the wireless patent sale were $75.0 million, which was reduced by $3.8 million of transaction costs which consisted primarily of fees from the law firm that assisted us with the sale.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$85,000 of other income in the nine month period ended September 30, 2012. This amount represented realized gains on the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high yield bond investments.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271% from $12,000 in three months ended September 30, 2011 to $45,000 in the same three month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The dollar increase was primarily due to higher cash balances as a result of proceeds from patent sales in the second and third quarters of 2012.</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increased 190% from $47,000 in the nine months ended September 30, 2011 to $137,000 in the same nine month period in 2012. The dollar increase was primarily due to: i) higher cash balances as a result of proceeds from patent sales in the second and third quarters of 2012; and ii) interest income from high yield bonds.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gains on sale of patent assets were primarily responsible for producing $89.2 million of income from continuing operations before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nine month period ended September 30, 2012. We used a significant portion our available deferred tax assets to reduce income taxes on year-to-date pre-tax earnings. Income taxes due on pre-tax earnings for the nine months ended of September 30, 2012 were $7.7 million. The $5.3 million income tax liability on our balance sheet at September 30, 2012 consisted of $3.8 million of federal income taxes and $1.5 million of state income taxes, after being reduced by $2.4 million of estimated taxes that we paid during the third quarter of 2012.</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substantial portion of the deferred tax assets we utilized comprised cumulative deductions for stock options in excess of book expense. Under income tax accounting rules, that portion of tax benefits attributable to such deductions must be recorded as an adjustment to equity versus a reduction of income tax expense. In the three and nine months ended September 30, 2012, the tax benefits from such stock-based awards were $3.1 million and $15.8 million, which we recorded as an equity adjustment to additional paid-in capital.</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income tax expense for the three months ended September 30, 2012 was $6.7 million, including $6.6 million that was recorded in continuing operations and $0.1 million that was recorded in discontinued operations. Total income tax expense for the nine months ended September 30, 2012 was $23.5 million, including $23.2 million that was recorded in continuing operations and $0.3 million that was recorded in discontinued operations. The Company’s actual tax liability for the first nine months of 2012 was $7.7 million as taxes that are currently payable were reduced by the $15.8 million equity adjustment mentioned above.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record a full valuation allowance against our remaining deferred tax assets because 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total deferred tax assets at September 30, 2012 is approximately $11.8 million of federal and state research credit carryforwards. As mentioned above, the Company has provided a full valuation allowance against these carryforwards, based on the uncertainty surrounding the realization of these assets. In addition, in connection with a detailed review of the prior year credits, the Company has determined that up to $7.7 million of these credit carryforwards represent an uncertain tax position.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Income (loss) from discontinued operations. </w:t>
      </w:r>
      <w:r>
        <w:rPr>
          <w:rFonts w:ascii="Arial" w:cs="Arial" w:eastAsia="Arial" w:hAnsi="Arial"/>
          <w:sz w:val="18"/>
          <w:szCs w:val="18"/>
          <w:color w:val="auto"/>
        </w:rPr>
        <w:t>Income (loss) from discontinued operations reflects operating results from our DSL service assurance hardware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that we shutdown during 2012.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September 30, 2012, we had cash and cash equivalents of $114.6 million, which represented an increase of $68.0 million from December 31, 2011. The increase in cash was primarily due to: i) $86.4 million of net proceeds from the sale of patent assets; ii) $4.0 million of cash provided by operations; iii) $5.9 million of proceeds from the issuance of common stock as a result of stock option exercises; and iv) $0.9 million from the sale of investments. Increases in cash from these sources were partially offset by: i) a $25.5 million special dividend payment; ii) $2.4 million used to pay estimated taxes on patent sale gains;</w:t>
      </w:r>
    </w:p>
    <w:p>
      <w:pPr>
        <w:spacing w:after="0" w:line="2" w:lineRule="exact"/>
        <w:rPr>
          <w:sz w:val="20"/>
          <w:szCs w:val="20"/>
          <w:color w:val="auto"/>
        </w:rPr>
      </w:pPr>
    </w:p>
    <w:p>
      <w:pPr>
        <w:ind w:right="20" w:firstLine="8"/>
        <w:spacing w:after="0" w:line="261"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 million used to purchase investments; iv) $90,000 used to purchase capital equipment; and v) $174,000 used to pay withholding taxes for employees who surrendered shares of common stock in connection with stock issuances.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spending was primarily related to the purchase of computer hardware used principally in engineering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September 30, 2012, we issued stock in connection with officer and employee stock grants. We allowed grantees to surrender a portion of their shares of stock in return for the Company paying their related withholding taxes. As a result of this provision, grantees surrendered 33,441 shares of common stock, and we paid $174,000 of withholding taxes on their behalf.</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September 30, 2012 consisted of two elements: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September 30, 2012, our cash and cash equivalents of $114.6 million were primarily invested in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2012, our investments of $1.0 million were invested in high yield bonds with a single corporate debt issuer.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bonds mature in 2015. While we are exposed to default risk, the high current yield of these bonds largely mitigates interest rate risk. Therefore, due to the high current yield and approximate 3 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2011,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Exhibits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ectPr>
          <w:pgSz w:w="11900" w:h="16838" w:orient="portrait"/>
          <w:cols w:equalWidth="0" w:num="1">
            <w:col w:w="11420"/>
          </w:cols>
          <w:pgMar w:left="240" w:top="513" w:right="239" w:bottom="1440" w:gutter="0" w:footer="0" w:header="0"/>
        </w:sect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DSL Patent Purchase Agreement, dated as of August 22, 2012, by and between Aware, Inc. and TQ Delta, LLC (filed as Exhibit 2.1 to the Company’s Form 8-K filed with the Securities and Exchange Commission on August 24, 2012 and incorporated herein by reference).</w:t>
      </w:r>
    </w:p>
    <w:p>
      <w:pPr>
        <w:spacing w:after="0" w:line="200" w:lineRule="exact"/>
        <w:rPr>
          <w:sz w:val="20"/>
          <w:szCs w:val="20"/>
          <w:color w:val="auto"/>
        </w:rPr>
      </w:pPr>
    </w:p>
    <w:p>
      <w:pPr>
        <w:sectPr>
          <w:pgSz w:w="11900" w:h="16838" w:orient="portrait"/>
          <w:cols w:equalWidth="0" w:num="2">
            <w:col w:w="1380" w:space="660"/>
            <w:col w:w="9380"/>
          </w:cols>
          <w:pgMar w:left="240" w:top="513" w:right="239" w:bottom="1440" w:gutter="0" w:footer="0" w:header="0"/>
          <w:type w:val="continuous"/>
        </w:sectPr>
      </w:pPr>
    </w:p>
    <w:p>
      <w:pPr>
        <w:spacing w:after="0" w:line="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co-Chief Executive Officer pursuant to Section 302 of the Sarbanes-Oxley Act of 2002.</w:t>
      </w:r>
    </w:p>
    <w:p>
      <w:pPr>
        <w:spacing w:after="0" w:line="200" w:lineRule="exact"/>
        <w:rPr>
          <w:sz w:val="20"/>
          <w:szCs w:val="20"/>
          <w:color w:val="auto"/>
        </w:rPr>
      </w:pPr>
    </w:p>
    <w:p>
      <w:pPr>
        <w:sectPr>
          <w:pgSz w:w="11900" w:h="16838" w:orient="portrait"/>
          <w:cols w:equalWidth="0" w:num="2">
            <w:col w:w="1460" w:space="580"/>
            <w:col w:w="9380"/>
          </w:cols>
          <w:pgMar w:left="240" w:top="513" w:right="239" w:bottom="1440" w:gutter="0" w:footer="0" w:header="0"/>
          <w:type w:val="continuous"/>
        </w:sectPr>
      </w:pP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sectPr>
          <w:pgSz w:w="11900" w:h="16838" w:orient="portrait"/>
          <w:cols w:equalWidth="0" w:num="2">
            <w:col w:w="1460" w:space="580"/>
            <w:col w:w="9380"/>
          </w:cols>
          <w:pgMar w:left="240" w:top="513" w:right="23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Exhibit 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Chief Executive Officer and Chief Financial Officer pursuant to Section 906 of the Sarbanes-Oxley Act of 2002.</w:t>
      </w:r>
    </w:p>
    <w:p>
      <w:pPr>
        <w:spacing w:after="0" w:line="200" w:lineRule="exact"/>
        <w:rPr>
          <w:sz w:val="20"/>
          <w:szCs w:val="20"/>
          <w:color w:val="auto"/>
        </w:rPr>
      </w:pPr>
    </w:p>
    <w:p>
      <w:pPr>
        <w:sectPr>
          <w:pgSz w:w="11900" w:h="16838" w:orient="portrait"/>
          <w:cols w:equalWidth="0" w:num="2">
            <w:col w:w="1460" w:space="580"/>
            <w:col w:w="9380"/>
          </w:cols>
          <w:pgMar w:left="240" w:top="513" w:right="239" w:bottom="1440" w:gutter="0" w:footer="0" w:header="0"/>
          <w:type w:val="continuous"/>
        </w:sectPr>
      </w:pP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financial statements from Aware, Inc.’s Quarterly Report on Form 10-Q for the quarter ended September 30, 2012, formatted in XBRL (eXtensible Business Reporting Language), as follows: (i) Consolidated Balance Sheets as of September 30, 2012 and December 31, 2011, (ii) Consolidated Statements of Comprehensive Income for the Three and Nine Months Ended September 30, 2012 and September 30, 2011, (iii) Consolidated Statements of Cash Flows for the Nine Months Ended September 30, 2012 and September 30, 2011, and (iv) Notes to Consolidated Financial Statements.</w:t>
      </w:r>
    </w:p>
    <w:p>
      <w:pPr>
        <w:spacing w:after="0" w:line="200" w:lineRule="exact"/>
        <w:rPr>
          <w:sz w:val="20"/>
          <w:szCs w:val="20"/>
          <w:color w:val="auto"/>
        </w:rPr>
      </w:pPr>
    </w:p>
    <w:p>
      <w:pPr>
        <w:sectPr>
          <w:pgSz w:w="11900" w:h="16838" w:orient="portrait"/>
          <w:cols w:equalWidth="0" w:num="2">
            <w:col w:w="1520" w:space="520"/>
            <w:col w:w="9380"/>
          </w:cols>
          <w:pgMar w:left="240" w:top="513" w:right="239" w:bottom="1440" w:gutter="0" w:footer="0" w:header="0"/>
          <w:type w:val="continuous"/>
        </w:sectPr>
      </w:pPr>
    </w:p>
    <w:p>
      <w:pPr>
        <w:ind w:firstLine="8"/>
        <w:spacing w:after="0" w:line="342" w:lineRule="auto"/>
        <w:tabs>
          <w:tab w:leader="none" w:pos="1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111061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AWARE,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tabs>
          <w:tab w:leader="none" w:pos="63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7"/>
          <w:szCs w:val="17"/>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27" w:lineRule="exact"/>
        <w:rPr>
          <w:sz w:val="20"/>
          <w:szCs w:val="20"/>
          <w:color w:val="auto"/>
        </w:rPr>
      </w:pPr>
    </w:p>
    <w:p>
      <w:pPr>
        <w:ind w:left="640"/>
        <w:spacing w:after="0"/>
        <w:tabs>
          <w:tab w:leader="none" w:pos="63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13"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13722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co-Chief Executive Officer &amp; co-President</w:t>
      </w:r>
    </w:p>
    <w:p>
      <w:pPr>
        <w:sectPr>
          <w:pgSz w:w="11900" w:h="16838" w:orient="portrait"/>
          <w:cols w:equalWidth="0" w:num="1">
            <w:col w:w="11420"/>
          </w:cols>
          <w:pgMar w:left="240" w:top="256"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16637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0"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co-Chief Executive Officer &amp; co-President</w:t>
      </w:r>
    </w:p>
    <w:p>
      <w:pPr>
        <w:spacing w:after="0" w:line="2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September 30, 2012,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c>
          <w:tcPr>
            <w:tcW w:w="800" w:type="dxa"/>
            <w:vAlign w:val="bottom"/>
          </w:tcPr>
          <w:p>
            <w:pPr>
              <w:spacing w:after="0"/>
              <w:rPr>
                <w:sz w:val="20"/>
                <w:szCs w:val="20"/>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co-Chief Executive Officer &amp; co-President</w:t>
            </w:r>
          </w:p>
        </w:tc>
        <w:tc>
          <w:tcPr>
            <w:tcW w:w="228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2"/>
              </w:rPr>
              <w:t>co-Chief Executive Officer &amp; co-President</w:t>
            </w:r>
          </w:p>
        </w:tc>
      </w:tr>
      <w:tr>
        <w:trPr>
          <w:trHeight w:val="230"/>
        </w:trPr>
        <w:tc>
          <w:tcPr>
            <w:tcW w:w="2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Date: October 31, 2012</w:t>
            </w:r>
          </w:p>
        </w:tc>
        <w:tc>
          <w:tcPr>
            <w:tcW w:w="5360" w:type="dxa"/>
            <w:vAlign w:val="bottom"/>
            <w:gridSpan w:val="3"/>
          </w:tcPr>
          <w:p>
            <w:pPr>
              <w:ind w:left="1480"/>
              <w:spacing w:after="0"/>
              <w:rPr>
                <w:sz w:val="20"/>
                <w:szCs w:val="20"/>
                <w:color w:val="auto"/>
              </w:rPr>
            </w:pPr>
            <w:r>
              <w:rPr>
                <w:rFonts w:ascii="Arial" w:cs="Arial" w:eastAsia="Arial" w:hAnsi="Arial"/>
                <w:sz w:val="18"/>
                <w:szCs w:val="18"/>
                <w:color w:val="auto"/>
              </w:rPr>
              <w:t>Date: October 31, 2012</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1"/>
    </w:lvl>
  </w:abstractNum>
  <w:abstractNum w:abstractNumId="1">
    <w:nsid w:val="4DB127F8"/>
    <w:multiLevelType w:val="hybridMultilevel"/>
    <w:lvl w:ilvl="0">
      <w:lvlJc w:val="left"/>
      <w:lvlText w:val="%1)"/>
      <w:numFmt w:val="upperLetter"/>
      <w:start w:val="4"/>
    </w:lvl>
  </w:abstractNum>
  <w:abstractNum w:abstractNumId="2">
    <w:nsid w:val="216231B"/>
    <w:multiLevelType w:val="hybridMultilevel"/>
    <w:lvl w:ilvl="0">
      <w:lvlJc w:val="left"/>
      <w:lvlText w:val="%1)"/>
      <w:numFmt w:val="upperLetter"/>
      <w:start w:val="5"/>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1)"/>
      <w:numFmt w:val="upperLetter"/>
      <w:start w:val="6"/>
    </w:lvl>
  </w:abstractNum>
  <w:abstractNum w:abstractNumId="5">
    <w:nsid w:val="66EF438D"/>
    <w:multiLevelType w:val="hybridMultilevel"/>
    <w:lvl w:ilvl="0">
      <w:lvlJc w:val="left"/>
      <w:lvlText w:val="%1)"/>
      <w:numFmt w:val="upperLetter"/>
      <w:start w:val="7"/>
    </w:lvl>
  </w:abstractNum>
  <w:abstractNum w:abstractNumId="6">
    <w:nsid w:val="140E0F76"/>
    <w:multiLevelType w:val="hybridMultilevel"/>
    <w:lvl w:ilvl="0">
      <w:lvlJc w:val="left"/>
      <w:lvlText w:val="%1)"/>
      <w:numFmt w:val="upperLetter"/>
      <w:start w:val="8"/>
    </w:lvl>
  </w:abstractNum>
  <w:abstractNum w:abstractNumId="7">
    <w:nsid w:val="3352255A"/>
    <w:multiLevelType w:val="hybridMultilevel"/>
    <w:lvl w:ilvl="0">
      <w:lvlJc w:val="left"/>
      <w:lvlText w:val="%1)"/>
      <w:numFmt w:val="upperLetter"/>
      <w:start w:val="9"/>
    </w:lvl>
  </w:abstractNum>
  <w:abstractNum w:abstractNumId="8">
    <w:nsid w:val="109CF92E"/>
    <w:multiLevelType w:val="hybridMultilevel"/>
    <w:lvl w:ilvl="0">
      <w:lvlJc w:val="left"/>
      <w:lvlText w:val="%1)"/>
      <w:numFmt w:val="upperLetter"/>
      <w:start w:val="10"/>
    </w:lvl>
  </w:abstractNum>
  <w:abstractNum w:abstractNumId="9">
    <w:nsid w:val="DED7263"/>
    <w:multiLevelType w:val="hybridMultilevel"/>
    <w:lvl w:ilvl="0">
      <w:lvlJc w:val="left"/>
      <w:lvlText w:val="%1)"/>
      <w:numFmt w:val="upperLetter"/>
      <w:start w:val="11"/>
    </w:lvl>
  </w:abstractNum>
  <w:abstractNum w:abstractNumId="10">
    <w:nsid w:val="7FDCC233"/>
    <w:multiLevelType w:val="hybridMultilevel"/>
    <w:lvl w:ilvl="0">
      <w:lvlJc w:val="left"/>
      <w:lvlText w:val="%1)"/>
      <w:numFmt w:val="upperLetter"/>
      <w:start w:val="13"/>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Roman"/>
      <w:start w:val="3"/>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2019-12-09T11:28:15Z</dcterms:created>
  <dcterms:modified xsi:type="dcterms:W3CDTF">2019-12-09T11:28:15Z</dcterms:modified>
</cp:coreProperties>
</file>