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2010</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000-21129</w:t>
      </w: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u w:val="single" w:color="auto"/>
          <w:color w:val="auto"/>
        </w:rPr>
        <w:t>AWARE,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64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1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87"/>
              </w:rPr>
              <w:t>04-2911026</w:t>
            </w:r>
          </w:p>
        </w:tc>
      </w:tr>
      <w:tr>
        <w:trPr>
          <w:trHeight w:val="20"/>
        </w:trPr>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30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(State or Other Jurisdiction of</w:t>
            </w:r>
          </w:p>
        </w:tc>
        <w:tc>
          <w:tcPr>
            <w:tcW w:w="3400" w:type="dxa"/>
            <w:vAlign w:val="bottom"/>
            <w:gridSpan w:val="3"/>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00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Incorporation or Organization)</w:t>
            </w: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(781) 276-4000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ind w:right="3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October 25, 2010:</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1940" w:type="dxa"/>
            <w:vAlign w:val="bottom"/>
          </w:tcPr>
          <w:p>
            <w:pPr>
              <w:spacing w:after="0"/>
              <w:rPr>
                <w:sz w:val="18"/>
                <w:szCs w:val="18"/>
                <w:color w:val="auto"/>
              </w:rPr>
            </w:pPr>
          </w:p>
        </w:tc>
        <w:tc>
          <w:tcPr>
            <w:tcW w:w="560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0"/>
        </w:trPr>
        <w:tc>
          <w:tcPr>
            <w:tcW w:w="3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237"/>
        </w:trPr>
        <w:tc>
          <w:tcPr>
            <w:tcW w:w="5840" w:type="dxa"/>
            <w:vAlign w:val="bottom"/>
            <w:gridSpan w:val="3"/>
          </w:tcPr>
          <w:p>
            <w:pPr>
              <w:jc w:val="center"/>
              <w:ind w:left="1450"/>
              <w:spacing w:after="0"/>
              <w:rPr>
                <w:sz w:val="20"/>
                <w:szCs w:val="20"/>
                <w:color w:val="auto"/>
              </w:rPr>
            </w:pPr>
            <w:r>
              <w:rPr>
                <w:rFonts w:ascii="Arial" w:cs="Arial" w:eastAsia="Arial" w:hAnsi="Arial"/>
                <w:sz w:val="18"/>
                <w:szCs w:val="18"/>
                <w:color w:val="auto"/>
                <w:w w:val="89"/>
              </w:rPr>
              <w:t>Common Stock, par value $0.01 per share</w:t>
            </w:r>
          </w:p>
        </w:tc>
        <w:tc>
          <w:tcPr>
            <w:tcW w:w="640" w:type="dxa"/>
            <w:vAlign w:val="bottom"/>
          </w:tcPr>
          <w:p>
            <w:pPr>
              <w:spacing w:after="0"/>
              <w:rPr>
                <w:sz w:val="20"/>
                <w:szCs w:val="20"/>
                <w:color w:val="auto"/>
              </w:rPr>
            </w:pPr>
          </w:p>
        </w:tc>
        <w:tc>
          <w:tcPr>
            <w:tcW w:w="4960" w:type="dxa"/>
            <w:vAlign w:val="bottom"/>
            <w:gridSpan w:val="3"/>
          </w:tcPr>
          <w:p>
            <w:pPr>
              <w:jc w:val="center"/>
              <w:ind w:right="2560"/>
              <w:spacing w:after="0"/>
              <w:rPr>
                <w:sz w:val="20"/>
                <w:szCs w:val="20"/>
                <w:color w:val="auto"/>
              </w:rPr>
            </w:pPr>
            <w:r>
              <w:rPr>
                <w:rFonts w:ascii="Arial" w:cs="Arial" w:eastAsia="Arial" w:hAnsi="Arial"/>
                <w:sz w:val="18"/>
                <w:szCs w:val="18"/>
                <w:color w:val="auto"/>
                <w:w w:val="88"/>
              </w:rPr>
              <w:t>20,039,145 shares</w:t>
            </w:r>
          </w:p>
        </w:tc>
      </w:tr>
      <w:tr>
        <w:trPr>
          <w:trHeight w:val="550"/>
        </w:trPr>
        <w:tc>
          <w:tcPr>
            <w:tcW w:w="34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831"/>
        </w:trPr>
        <w:tc>
          <w:tcPr>
            <w:tcW w:w="34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-554355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-554355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4520" w:type="dxa"/>
            <w:vAlign w:val="bottom"/>
            <w:vMerge w:val="restart"/>
          </w:tcPr>
          <w:p>
            <w:pPr>
              <w:ind w:left="80"/>
              <w:spacing w:after="0"/>
              <w:rPr>
                <w:sz w:val="20"/>
                <w:szCs w:val="20"/>
                <w:color w:val="auto"/>
              </w:rPr>
            </w:pPr>
            <w:r>
              <w:rPr>
                <w:rFonts w:ascii="Arial" w:cs="Arial" w:eastAsia="Arial" w:hAnsi="Arial"/>
                <w:sz w:val="18"/>
                <w:szCs w:val="18"/>
                <w:color w:val="auto"/>
              </w:rPr>
              <w:t>FINANCIAL INFORMATION</w:t>
            </w:r>
          </w:p>
        </w:tc>
        <w:tc>
          <w:tcPr>
            <w:tcW w:w="574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520" w:type="dxa"/>
            <w:vAlign w:val="bottom"/>
            <w:vMerge w:val="continue"/>
          </w:tcPr>
          <w:p>
            <w:pPr>
              <w:spacing w:after="0"/>
              <w:rPr>
                <w:sz w:val="20"/>
                <w:szCs w:val="20"/>
                <w:color w:val="auto"/>
              </w:rPr>
            </w:pPr>
          </w:p>
        </w:tc>
        <w:tc>
          <w:tcPr>
            <w:tcW w:w="5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4520" w:type="dxa"/>
            <w:vAlign w:val="bottom"/>
          </w:tcPr>
          <w:p>
            <w:pPr>
              <w:ind w:left="80"/>
              <w:spacing w:after="0"/>
              <w:rPr>
                <w:sz w:val="20"/>
                <w:szCs w:val="20"/>
                <w:color w:val="auto"/>
              </w:rPr>
            </w:pPr>
            <w:r>
              <w:rPr>
                <w:rFonts w:ascii="Arial" w:cs="Arial" w:eastAsia="Arial" w:hAnsi="Arial"/>
                <w:sz w:val="18"/>
                <w:szCs w:val="18"/>
                <w:color w:val="auto"/>
              </w:rPr>
              <w:t>Unaudited Consolidated Financial Statements</w:t>
            </w: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Consolidated Balance Sheets as of</w:t>
            </w: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September 30, 2010 and December 31, 2009</w:t>
            </w:r>
          </w:p>
        </w:tc>
        <w:tc>
          <w:tcPr>
            <w:tcW w:w="6100" w:type="dxa"/>
            <w:vAlign w:val="bottom"/>
            <w:gridSpan w:val="2"/>
          </w:tcPr>
          <w:p>
            <w:pPr>
              <w:jc w:val="center"/>
              <w:ind w:left="5570"/>
              <w:spacing w:after="0"/>
              <w:rPr>
                <w:sz w:val="20"/>
                <w:szCs w:val="20"/>
                <w:color w:val="auto"/>
              </w:rPr>
            </w:pPr>
            <w:r>
              <w:rPr>
                <w:rFonts w:ascii="Arial" w:cs="Arial" w:eastAsia="Arial" w:hAnsi="Arial"/>
                <w:sz w:val="18"/>
                <w:szCs w:val="18"/>
                <w:color w:val="auto"/>
                <w:w w:val="79"/>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Consolidated Statements of Operations for the</w:t>
            </w: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w w:val="98"/>
              </w:rPr>
              <w:t>Three and Nine Months Ended September 30, 2010 and</w:t>
            </w: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September 30, 2009</w:t>
            </w:r>
          </w:p>
        </w:tc>
        <w:tc>
          <w:tcPr>
            <w:tcW w:w="6100" w:type="dxa"/>
            <w:vAlign w:val="bottom"/>
            <w:gridSpan w:val="2"/>
          </w:tcPr>
          <w:p>
            <w:pPr>
              <w:jc w:val="center"/>
              <w:ind w:left="5570"/>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Consolidated Statements of Cash Flows for the</w:t>
            </w: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Nine Months Ended September 30, 2010 and</w:t>
            </w: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September 30, 2009</w:t>
            </w:r>
          </w:p>
        </w:tc>
        <w:tc>
          <w:tcPr>
            <w:tcW w:w="6100" w:type="dxa"/>
            <w:vAlign w:val="bottom"/>
            <w:gridSpan w:val="2"/>
          </w:tcPr>
          <w:p>
            <w:pPr>
              <w:jc w:val="center"/>
              <w:ind w:left="5570"/>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w:t>
            </w:r>
          </w:p>
        </w:tc>
        <w:tc>
          <w:tcPr>
            <w:tcW w:w="6100" w:type="dxa"/>
            <w:vAlign w:val="bottom"/>
            <w:gridSpan w:val="2"/>
          </w:tcPr>
          <w:p>
            <w:pPr>
              <w:jc w:val="center"/>
              <w:ind w:left="5570"/>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452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w:t>
            </w: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Condition and Results of Operations</w:t>
            </w:r>
          </w:p>
        </w:tc>
        <w:tc>
          <w:tcPr>
            <w:tcW w:w="61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452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w:t>
            </w: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Market Risk</w:t>
            </w:r>
          </w:p>
        </w:tc>
        <w:tc>
          <w:tcPr>
            <w:tcW w:w="61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452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61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II</w:t>
            </w:r>
          </w:p>
        </w:tc>
        <w:tc>
          <w:tcPr>
            <w:tcW w:w="452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452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61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452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61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4520" w:type="dxa"/>
            <w:vAlign w:val="bottom"/>
          </w:tcPr>
          <w:p>
            <w:pPr>
              <w:ind w:left="80"/>
              <w:spacing w:after="0"/>
              <w:rPr>
                <w:sz w:val="20"/>
                <w:szCs w:val="20"/>
                <w:color w:val="auto"/>
              </w:rPr>
            </w:pPr>
            <w:r>
              <w:rPr>
                <w:rFonts w:ascii="Arial" w:cs="Arial" w:eastAsia="Arial" w:hAnsi="Arial"/>
                <w:sz w:val="18"/>
                <w:szCs w:val="18"/>
                <w:color w:val="auto"/>
              </w:rPr>
              <w:t>Exhibits</w:t>
            </w:r>
          </w:p>
        </w:tc>
        <w:tc>
          <w:tcPr>
            <w:tcW w:w="61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Signatures</w:t>
            </w:r>
          </w:p>
        </w:tc>
        <w:tc>
          <w:tcPr>
            <w:tcW w:w="6100" w:type="dxa"/>
            <w:vAlign w:val="bottom"/>
            <w:gridSpan w:val="2"/>
          </w:tcPr>
          <w:p>
            <w:pPr>
              <w:jc w:val="center"/>
              <w:ind w:left="555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740" w:type="dxa"/>
            <w:vAlign w:val="bottom"/>
          </w:tcPr>
          <w:p>
            <w:pPr>
              <w:jc w:val="right"/>
              <w:ind w:right="51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4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39,041</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39,669</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46,175</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and outstanding 20,039,145 as of September 30, 2010 and 19,809,315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as of December 31, 2009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(27,920)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(27,870)</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49,320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52,669</w:t>
            </w:r>
          </w:p>
        </w:tc>
        <w:tc>
          <w:tcPr>
            <w:tcW w:w="120" w:type="dxa"/>
            <w:vAlign w:val="bottom"/>
          </w:tcPr>
          <w:p>
            <w:pPr>
              <w:spacing w:after="0"/>
              <w:rPr>
                <w:sz w:val="24"/>
                <w:szCs w:val="2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51,454</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13,588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11,332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Contract revenue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3,725</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2,413</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contract revenue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9,344</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3,517</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1,383</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3,812</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7,383</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21,620</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(1,163)</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(5,063)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(4,846)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(4,851)</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7"/>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(0.23)</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19,782</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21,230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20,344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19,782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21,230</w:t>
            </w: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(4,851)</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1,476</w:t>
            </w: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Increase (decrease) from changes in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(1,568)</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(463)</w:t>
            </w:r>
          </w:p>
        </w:tc>
      </w:tr>
      <w:tr>
        <w:trPr>
          <w:trHeight w:val="237"/>
        </w:trPr>
        <w:tc>
          <w:tcPr>
            <w:tcW w:w="88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Expenses from sale of assets</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other assets</w:t>
            </w:r>
          </w:p>
        </w:tc>
        <w:tc>
          <w:tcPr>
            <w:tcW w:w="240" w:type="dxa"/>
            <w:vAlign w:val="bottom"/>
          </w:tcPr>
          <w:p>
            <w:pPr>
              <w:spacing w:after="0"/>
              <w:rPr>
                <w:sz w:val="20"/>
                <w:szCs w:val="20"/>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Shares surrendered by employees to pay taxes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unrestricted stock</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(8,950)</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top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24"/>
                <w:szCs w:val="24"/>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(12,888)</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39,669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45,516</w:t>
            </w:r>
          </w:p>
        </w:tc>
        <w:tc>
          <w:tcPr>
            <w:tcW w:w="6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39,041</w:t>
            </w:r>
          </w:p>
        </w:tc>
        <w:tc>
          <w:tcPr>
            <w:tcW w:w="1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32,628</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accompanying unaudited consolidated balance sheet, statements of operations, and statements of cash flows reflect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adjustments (consisting only of normal recurring items) which are, in the opinion of management, necessary for a fair presentation of financial position at September 30, 2010, and of operations and cash flows for the interim periods ended September 30, 2010 and 2009.</w:t>
      </w:r>
    </w:p>
    <w:p>
      <w:pPr>
        <w:spacing w:after="0" w:line="192" w:lineRule="exact"/>
        <w:rPr>
          <w:rFonts w:ascii="Arial" w:cs="Arial" w:eastAsia="Arial" w:hAnsi="Arial"/>
          <w:sz w:val="17"/>
          <w:szCs w:val="17"/>
          <w:color w:val="auto"/>
        </w:rPr>
      </w:pPr>
    </w:p>
    <w:p>
      <w:pPr>
        <w:jc w:val="both"/>
        <w:ind w:left="340"/>
        <w:spacing w:after="0" w:line="257" w:lineRule="auto"/>
        <w:rPr>
          <w:rFonts w:ascii="Arial" w:cs="Arial" w:eastAsia="Arial" w:hAnsi="Arial"/>
          <w:sz w:val="17"/>
          <w:szCs w:val="17"/>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2009 in conjunction with our 2009 Annual Report on Form 10-K. This Form 10-Q should be read in conjunction with that Form 10-K.</w:t>
      </w:r>
    </w:p>
    <w:p>
      <w:pPr>
        <w:spacing w:after="0" w:line="215"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The results of operations for the interim period ended September 30, 2010 are not necessarily indicative of the results to be expected for the year.</w:t>
      </w:r>
    </w:p>
    <w:p>
      <w:pPr>
        <w:spacing w:after="0" w:line="263" w:lineRule="exact"/>
        <w:rPr>
          <w:rFonts w:ascii="Arial" w:cs="Arial" w:eastAsia="Arial" w:hAnsi="Arial"/>
          <w:sz w:val="17"/>
          <w:szCs w:val="17"/>
          <w:color w:val="auto"/>
        </w:rPr>
      </w:pPr>
    </w:p>
    <w:p>
      <w:pPr>
        <w:jc w:val="both"/>
        <w:ind w:left="340" w:hanging="332"/>
        <w:spacing w:after="0" w:line="27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issued authoritative guidance for fair value measurements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2006, which defines fair value, establishes a framework for measuring fair value, and expands disclosures assets and liabilities measured at fair value in financial statements. This guidance is set forth in FASB Accounting Standards Codification 820 (ASC 820). We adopted the provisions of ASC 820 as of January 1, 2008, for our financial instruments. Although the adoption of ASC 820 did not materially impact our financial condition, results of operations, or cash flow, we are now required to provide additional disclosures as part of our financial statements.</w:t>
      </w:r>
    </w:p>
    <w:p>
      <w:pPr>
        <w:spacing w:after="0" w:line="199" w:lineRule="exact"/>
        <w:rPr>
          <w:rFonts w:ascii="Arial" w:cs="Arial" w:eastAsia="Arial" w:hAnsi="Arial"/>
          <w:sz w:val="17"/>
          <w:szCs w:val="17"/>
          <w:color w:val="auto"/>
        </w:rPr>
      </w:pPr>
    </w:p>
    <w:p>
      <w:pPr>
        <w:jc w:val="both"/>
        <w:ind w:left="340"/>
        <w:spacing w:after="0" w:line="259" w:lineRule="auto"/>
        <w:rPr>
          <w:rFonts w:ascii="Arial" w:cs="Arial" w:eastAsia="Arial" w:hAnsi="Arial"/>
          <w:sz w:val="17"/>
          <w:szCs w:val="17"/>
          <w:color w:val="auto"/>
        </w:rPr>
      </w:pPr>
      <w:r>
        <w:rPr>
          <w:rFonts w:ascii="Arial" w:cs="Arial" w:eastAsia="Arial" w:hAnsi="Arial"/>
          <w:sz w:val="18"/>
          <w:szCs w:val="18"/>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13"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For recognition purposes, on a recurring basis we are required to measure available for sale investments at fair value. We had no available for sale investments as of September 30, 2010 or December 31, 2009.</w:t>
      </w:r>
    </w:p>
    <w:p>
      <w:pPr>
        <w:spacing w:after="0" w:line="197"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Our cash and cash equivalents, including money market securities, were $39.0 million and $39.7 million as of September 30, 2010 and December 31, 2009, respectively. We classified our cash and cash equivalents within Level 1 of the fair value hierarchy because they are valued using quoted market prices.</w:t>
      </w:r>
    </w:p>
    <w:p>
      <w:pPr>
        <w:spacing w:after="0" w:line="208" w:lineRule="exact"/>
        <w:rPr>
          <w:rFonts w:ascii="Arial" w:cs="Arial" w:eastAsia="Arial" w:hAnsi="Arial"/>
          <w:sz w:val="17"/>
          <w:szCs w:val="17"/>
          <w:color w:val="auto"/>
        </w:rPr>
      </w:pPr>
    </w:p>
    <w:p>
      <w:pPr>
        <w:ind w:left="340" w:right="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cost or net realizable value with cost being determined by the first-in, first-out (“FIFO”)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Inventory reserves are established for estimated excess and obsolete inventory. Inventories consist primarily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28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40" w:type="dxa"/>
            <w:vAlign w:val="bottom"/>
          </w:tcPr>
          <w:p>
            <w:pPr>
              <w:ind w:left="1720"/>
              <w:spacing w:after="0" w:line="201" w:lineRule="exact"/>
              <w:rPr>
                <w:sz w:val="20"/>
                <w:szCs w:val="20"/>
                <w:color w:val="auto"/>
              </w:rPr>
            </w:pPr>
            <w:r>
              <w:rPr>
                <w:rFonts w:ascii="Arial" w:cs="Arial" w:eastAsia="Arial" w:hAnsi="Arial"/>
                <w:sz w:val="18"/>
                <w:szCs w:val="18"/>
                <w:color w:val="auto"/>
              </w:rPr>
              <w:t>Raw materials</w:t>
            </w:r>
          </w:p>
        </w:tc>
        <w:tc>
          <w:tcPr>
            <w:tcW w:w="282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1,468</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1,112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1720"/>
              <w:spacing w:after="0"/>
              <w:rPr>
                <w:sz w:val="20"/>
                <w:szCs w:val="20"/>
                <w:color w:val="auto"/>
              </w:rPr>
            </w:pPr>
            <w:r>
              <w:rPr>
                <w:rFonts w:ascii="Arial" w:cs="Arial" w:eastAsia="Arial" w:hAnsi="Arial"/>
                <w:sz w:val="18"/>
                <w:szCs w:val="18"/>
                <w:color w:val="auto"/>
              </w:rPr>
              <w:t>Finished goods</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2"/>
          </w:tcPr>
          <w:p>
            <w:pPr>
              <w:jc w:val="right"/>
              <w:ind w:right="17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tcPr>
          <w:p>
            <w:pPr>
              <w:ind w:left="208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1,468</w:t>
            </w:r>
          </w:p>
        </w:tc>
        <w:tc>
          <w:tcPr>
            <w:tcW w:w="3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820" w:type="dxa"/>
            <w:vAlign w:val="bottom"/>
            <w:vMerge w:val="restart"/>
          </w:tcPr>
          <w:p>
            <w:pPr>
              <w:jc w:val="right"/>
              <w:ind w:right="121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2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4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are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Net income (loss) per share is calculated as follows (in thousands, except per share data):</w:t>
      </w:r>
    </w:p>
    <w:p>
      <w:pPr>
        <w:spacing w:after="0" w:line="24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432"/>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(4,851)</w:t>
            </w: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19,782</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19,947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21,230</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Diluted shares outstanding</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21,230</w:t>
            </w:r>
          </w:p>
        </w:tc>
        <w:tc>
          <w:tcPr>
            <w:tcW w:w="6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(0.23)</w:t>
            </w:r>
          </w:p>
        </w:tc>
      </w:tr>
    </w:tbl>
    <w:p>
      <w:pPr>
        <w:spacing w:after="0" w:line="200" w:lineRule="exact"/>
        <w:rPr>
          <w:sz w:val="20"/>
          <w:szCs w:val="20"/>
          <w:color w:val="auto"/>
        </w:rPr>
      </w:pPr>
    </w:p>
    <w:p>
      <w:pPr>
        <w:spacing w:after="0" w:line="27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three month period ended September 30, 2009 potential common stock equivalents of 13,575 were not included in the per share calculation for diluted EPS, because we had a net loss and the effect of their inclusion would be anti-dilutive. For the nine month periods ended September 30, 2010 and 2009 potential common stock equivalents of 120,741 and 5,654, respectively, were not included in the per share calculation for diluted EPS, because we had net losses and the effect of their inclusion would be anti-dilutive.</w:t>
      </w:r>
    </w:p>
    <w:p>
      <w:pPr>
        <w:spacing w:after="0" w:line="21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For the three month periods ended September 30, 2010 and 2009, options to purchase 5,047,709 and 7,444,493 shares of common stock, respectively, were outstanding, but were not included in the computation of diluted EPS because the options’ exercise prices were greater than the average market price of the common stock and thus would be anti-dilutive. For the nine month periods ended September 30, 2010 and 2009, options to purchase 5,104,131 and 7,555,393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0" w:lineRule="exact"/>
        <w:rPr>
          <w:sz w:val="20"/>
          <w:szCs w:val="20"/>
          <w:color w:val="auto"/>
        </w:rPr>
      </w:pPr>
    </w:p>
    <w:p>
      <w:pPr>
        <w:ind w:left="340" w:right="6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operations (in 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4"/>
          </w:tcPr>
          <w:p>
            <w:pPr>
              <w:jc w:val="right"/>
              <w:ind w:right="297"/>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820" w:type="dxa"/>
            <w:vAlign w:val="bottom"/>
            <w:gridSpan w:val="2"/>
          </w:tcPr>
          <w:p>
            <w:pPr>
              <w:jc w:val="right"/>
              <w:ind w:right="66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contract revenue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18"/>
                <w:szCs w:val="18"/>
                <w:color w:val="auto"/>
              </w:rPr>
            </w:pPr>
          </w:p>
        </w:tc>
      </w:tr>
      <w:tr>
        <w:trPr>
          <w:trHeight w:val="21"/>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estimate the fair value of stock options using the Black-Scholes valuation model. This valuation model takes into account the exercise price of the award, as well as a variety of significant assumptions. These assumptions used to estimate the fair value of stock options include the expected term, the expected volatility of our stock over the expected term, the risk-free interest rate over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left="340"/>
        <w:spacing w:after="0" w:line="259" w:lineRule="auto"/>
        <w:rPr>
          <w:sz w:val="20"/>
          <w:szCs w:val="20"/>
          <w:color w:val="auto"/>
        </w:rPr>
      </w:pPr>
      <w:r>
        <w:rPr>
          <w:rFonts w:ascii="Arial" w:cs="Arial" w:eastAsia="Arial" w:hAnsi="Arial"/>
          <w:sz w:val="18"/>
          <w:szCs w:val="18"/>
          <w:color w:val="auto"/>
        </w:rPr>
        <w:t>expected term, and our expected annual dividend yield. We believe that the valuation technique and the approach utilized to develop the underlying assumptions are appropriate in calculating the fair values of our stock options granted in the three and nine month periods ended September 30, 2009. No options were granted in the three and nine month periods ended September 30, 2010. Estimates of fair value are not intended to predict actual future events or the value ultimately realized by persons who receive equity awards.</w:t>
      </w:r>
    </w:p>
    <w:p>
      <w:pPr>
        <w:spacing w:after="0" w:line="214"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In July 2010, we granted 102,040 shares of our common stock to directors and 473,403 shares to officers and employees. Shares granted to directors were issued in August 2010, which resulted in a stock-based compensation charge of $258,000 in the three months ended September 30, 2010. With the exception of one employee, shares granted to officers and employees will be issued in four equal increments on December 31, 2010, June 30, 2011, December 31, 2011, and June 30, 2012, provided such officers and employees remain employed by the Company on each of these dates. The total stock-based compensation charge associated with the officer and employee grant is expected to be $1.2 million. This charge will be amortized into expenses over the related two-year service period. We amortized $170,000 of stock-based compensatio n expense related to the officer and employee grant in the three months ended September 30, 2010. The $170,000 expense includes $23,000 of cost related to a grant to one employee whose shares were issued in August 2010.</w:t>
      </w:r>
    </w:p>
    <w:p>
      <w:pPr>
        <w:spacing w:after="0" w:line="21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 January 2010, we completed an employee option exchange program. Under the terms of the program, eligible 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w:t>
      </w:r>
    </w:p>
    <w:p>
      <w:pPr>
        <w:spacing w:after="0" w:line="19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When the program ended on January 12, 2010, eligible employees had exchanged 820,481 stock options for 178,314 shares of common stock. Participating employees were allowed to surrender a portion of their common stock in return for the Company paying withholding taxes related to their stock grants. As a result of this provision, employees surrendered 60,659 shares of common stock and the Company paid approximately $161,000 of withholding taxes on their behalf. After the common stock share surrender, 117,655 net shares of common stock were issued to participating employees.</w:t>
      </w:r>
    </w:p>
    <w:p>
      <w:pPr>
        <w:spacing w:after="0" w:line="21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 portion of the 820,481 stock options that were exchanged were not fully vested as of the exchange date. We expensed approximately $102,000 of unamortized stock-based compensation related to such unvested stock options in the three months ended March 31, 2010.</w:t>
      </w:r>
    </w:p>
    <w:p>
      <w:pPr>
        <w:spacing w:after="0" w:line="200" w:lineRule="exact"/>
        <w:rPr>
          <w:sz w:val="20"/>
          <w:szCs w:val="20"/>
          <w:color w:val="auto"/>
        </w:rPr>
      </w:pPr>
    </w:p>
    <w:p>
      <w:pPr>
        <w:spacing w:after="0" w:line="241" w:lineRule="exact"/>
        <w:rPr>
          <w:sz w:val="20"/>
          <w:szCs w:val="20"/>
          <w:color w:val="auto"/>
        </w:rPr>
      </w:pPr>
    </w:p>
    <w:p>
      <w:pPr>
        <w:ind w:left="340" w:right="32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Business Segments</w:t>
      </w:r>
      <w:r>
        <w:rPr>
          <w:rFonts w:ascii="Arial" w:cs="Arial" w:eastAsia="Arial" w:hAnsi="Arial"/>
          <w:sz w:val="17"/>
          <w:szCs w:val="17"/>
          <w:color w:val="auto"/>
        </w:rPr>
        <w:t>. We manage the business as one segment and conduct our operations in the United States. We sell our products and technology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domestic and international customers. Revenues were generated from the following geographic regions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800" w:type="dxa"/>
            <w:vAlign w:val="bottom"/>
          </w:tcPr>
          <w:p>
            <w:pPr>
              <w:ind w:left="900"/>
              <w:spacing w:after="0"/>
              <w:rPr>
                <w:sz w:val="20"/>
                <w:szCs w:val="20"/>
                <w:color w:val="auto"/>
              </w:rPr>
            </w:pPr>
            <w:r>
              <w:rPr>
                <w:rFonts w:ascii="Arial" w:cs="Arial" w:eastAsia="Arial" w:hAnsi="Arial"/>
                <w:sz w:val="18"/>
                <w:szCs w:val="18"/>
                <w:color w:val="auto"/>
              </w:rPr>
              <w:t>United States</w:t>
            </w:r>
          </w:p>
        </w:tc>
        <w:tc>
          <w:tcPr>
            <w:tcW w:w="2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3,460</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16"/>
        </w:trPr>
        <w:tc>
          <w:tcPr>
            <w:tcW w:w="3800" w:type="dxa"/>
            <w:vAlign w:val="bottom"/>
          </w:tcPr>
          <w:p>
            <w:pPr>
              <w:ind w:left="900"/>
              <w:spacing w:after="0"/>
              <w:rPr>
                <w:sz w:val="20"/>
                <w:szCs w:val="20"/>
                <w:color w:val="auto"/>
              </w:rPr>
            </w:pPr>
            <w:r>
              <w:rPr>
                <w:rFonts w:ascii="Arial" w:cs="Arial" w:eastAsia="Arial" w:hAnsi="Arial"/>
                <w:sz w:val="18"/>
                <w:szCs w:val="18"/>
                <w:color w:val="auto"/>
              </w:rPr>
              <w:t>Germany</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37"/>
        </w:trPr>
        <w:tc>
          <w:tcPr>
            <w:tcW w:w="3800" w:type="dxa"/>
            <w:vAlign w:val="bottom"/>
          </w:tcPr>
          <w:p>
            <w:pPr>
              <w:ind w:left="900"/>
              <w:spacing w:after="0"/>
              <w:rPr>
                <w:sz w:val="20"/>
                <w:szCs w:val="20"/>
                <w:color w:val="auto"/>
              </w:rPr>
            </w:pPr>
            <w:r>
              <w:rPr>
                <w:rFonts w:ascii="Arial" w:cs="Arial" w:eastAsia="Arial" w:hAnsi="Arial"/>
                <w:sz w:val="18"/>
                <w:szCs w:val="18"/>
                <w:color w:val="auto"/>
              </w:rPr>
              <w:t>Rest of World</w:t>
            </w: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228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8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8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jc w:val="both"/>
        <w:ind w:left="340" w:hanging="332"/>
        <w:spacing w:after="0" w:line="27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As of December 31, 2009, we had federal net operating loss (“NOLs”) and research and experimentation credit carryforwards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$47.6 million and $13.4 million respectively, which may be available to offset future federal income tax liabilities and expire at various dates from 2010 through 2029. In addition, at December 31, 2009, we had approximately $10.3 million and $7.1 million of state net operating losses and state research and development and investment tax carryforwards, respectively, which expire at various dates from 2010 through 2024.</w:t>
      </w:r>
    </w:p>
    <w:p>
      <w:pPr>
        <w:spacing w:after="0" w:line="198" w:lineRule="exact"/>
        <w:rPr>
          <w:rFonts w:ascii="Arial" w:cs="Arial" w:eastAsia="Arial" w:hAnsi="Arial"/>
          <w:sz w:val="17"/>
          <w:szCs w:val="17"/>
          <w:color w:val="auto"/>
        </w:rPr>
      </w:pPr>
    </w:p>
    <w:p>
      <w:pPr>
        <w:ind w:left="340"/>
        <w:spacing w:after="0" w:line="342" w:lineRule="auto"/>
        <w:rPr>
          <w:rFonts w:ascii="Arial" w:cs="Arial" w:eastAsia="Arial" w:hAnsi="Arial"/>
          <w:sz w:val="17"/>
          <w:szCs w:val="17"/>
          <w:color w:val="auto"/>
        </w:rPr>
      </w:pPr>
      <w:r>
        <w:rPr>
          <w:rFonts w:ascii="Arial" w:cs="Arial" w:eastAsia="Arial" w:hAnsi="Arial"/>
          <w:sz w:val="16"/>
          <w:szCs w:val="16"/>
          <w:color w:val="auto"/>
        </w:rPr>
        <w:t>Based on an analysis that we performed under Internal Revenue Code Section 382 on our NOLs generated for the period 1997 through 2009, we have not experienced a change in ownership as defined by Section 382, and, therefore, the NOLs are not currently under any Section 382 limitation.</w:t>
      </w:r>
    </w:p>
    <w:p>
      <w:pPr>
        <w:spacing w:after="0" w:line="150"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We describe below recent pronouncements that have had or may have a significant effect on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We do not discuss recent pronouncements that are not anticipated to have an impact on or are unrelated to our financial condition, results of operations, or disclosures.</w:t>
      </w:r>
    </w:p>
    <w:p>
      <w:pPr>
        <w:spacing w:after="0" w:line="208" w:lineRule="exact"/>
        <w:rPr>
          <w:rFonts w:ascii="Arial" w:cs="Arial" w:eastAsia="Arial" w:hAnsi="Arial"/>
          <w:sz w:val="18"/>
          <w:szCs w:val="18"/>
          <w:color w:val="auto"/>
        </w:rPr>
      </w:pPr>
    </w:p>
    <w:p>
      <w:pPr>
        <w:jc w:val="both"/>
        <w:ind w:left="340"/>
        <w:spacing w:after="0" w:line="272" w:lineRule="auto"/>
        <w:rPr>
          <w:rFonts w:ascii="Arial" w:cs="Arial" w:eastAsia="Arial" w:hAnsi="Arial"/>
          <w:sz w:val="18"/>
          <w:szCs w:val="18"/>
          <w:color w:val="auto"/>
        </w:rPr>
      </w:pPr>
      <w:r>
        <w:rPr>
          <w:rFonts w:ascii="Arial" w:cs="Arial" w:eastAsia="Arial" w:hAnsi="Arial"/>
          <w:sz w:val="17"/>
          <w:szCs w:val="17"/>
          <w:color w:val="auto"/>
        </w:rPr>
        <w:t>In January 2010, the Financial Accounting Standards Board (“FASB”) issued Accounting Standards Update (“ASU”) 2010-06, “Improving Disclosures about Fair Value Measurements”.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2010. Comparative disclosures are not required in the year of adoption. We adopted the provisions of the standard on January 1, 2010, which did not have a material impact on our financial statements.</w:t>
      </w: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Program. </w:t>
      </w:r>
      <w:r>
        <w:rPr>
          <w:rFonts w:ascii="Arial" w:cs="Arial" w:eastAsia="Arial" w:hAnsi="Arial"/>
          <w:sz w:val="18"/>
          <w:szCs w:val="18"/>
          <w:color w:val="auto"/>
        </w:rPr>
        <w:t>On March 5, 2009, we announced a modified Dutch auction self-tender offer to purchase up to 3,500,000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15%, of our outstanding common stock (including the associated preferred share purchase rights), at a price in the range of $2.20 to $2.60 per share, for a maximum aggregate purchase price of approximately $9.1 million. The terms of the tender offer also provided the right for us to purchase up to an additional 2% of our shares if the offer was oversubscribed.</w:t>
      </w:r>
    </w:p>
    <w:p>
      <w:pPr>
        <w:spacing w:after="0" w:line="213"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tender offer closed on April 17, 2009, and on April 23, 2009 we repurchased 3,500,252 shares at $2.50 per share for a total cost of $9.0 million, including expenses.</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Spin-off Plans. </w:t>
      </w:r>
      <w:r>
        <w:rPr>
          <w:rFonts w:ascii="Arial" w:cs="Arial" w:eastAsia="Arial" w:hAnsi="Arial"/>
          <w:sz w:val="18"/>
          <w:szCs w:val="18"/>
          <w:color w:val="auto"/>
        </w:rPr>
        <w:t>In September 2010, we announced plans to pursue a spin-off of our patent licensing operations. The spin-off will allow the spun-off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to focus on patent licensing operations. After the spin-off, Aware will continue as a supplier of test and diagnostics products and biometrics and imaging software.</w:t>
      </w:r>
    </w:p>
    <w:p>
      <w:pPr>
        <w:spacing w:after="0" w:line="208"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We expect to file documents with the U.S. Securities &amp; Exchange Commission (SEC) over the next few months and to complete the proposed transaction in the first half of fiscal 2011. The spin-off will result in two, independent publicly traded U.S. companies.</w:t>
      </w:r>
    </w:p>
    <w:p>
      <w:pPr>
        <w:spacing w:after="0" w:line="197"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The proposed transaction is expected to be structured as a tax-free distribution to Aware stockholders, and is contingent upon a number of items including, but not limited to, receipt of a favorable ruling from the Internal Revenue Service as to the United States federal income tax consequences of the spin-off, a determination by Aware's board of directors that the spin-off is in the best interest of Aware, and the completion of a review process by the SEC.</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 09,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 Further, there can be no assurance as to the timing of the contemplated spin-off of our patent licensing operations, whether it will ultimately be structured as a spin-off, or whether the contemplated spin-off will be completed.</w:t>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Summary of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historically organized ourselves as one segment with three product lines. Our product lines have included: i) DSL 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diagnostics products, ii) biometrics products, and iii) licensing products.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test and diagnostics products consist of DSL hardware and software products that are used by telephone companies to improve the quality of their DSL service offerings. Our test and diagnostics products are typically sold to OEMs that incorporate our products into their products. Our OEM customers sell their equipment and software products to telephone companies. We also market our test and diagnostics software directly to telephone companies.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biometrics products consist of software and services used in biometric systems. Biometric systems are used by governments and enterprises to verify the identification of people. Biometrics systems are used in applications such as border control, secure credentialing, and background checks. We typically sell our biometrics software and services to OEMs and system integrators that incorporate our products into their biometrics hardware and software systems. We also sell a modest amount of medical imaging software that is included in our biometrics product line revenue.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licensing products have consisted of: i) DSL technology products, ii) home networking technology products, and iii) patents related to DSL, home networking and other technologies. Our technology products have been licensed to semiconductor companies that sell chipsets that incorporate our technology. Our patents are sold or licensed to third parties interested in acquiring such patent rights.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13, 2009, we completed a transaction in which we sold substantially all of the assets associated with our licensing product line to Lantiq Deutschland GmbH (“Lantiq”) for $6.75 million. Lantiq is a fabless semiconductor company that was spun out of Infineon Technologies AG (“Infineon”), our largest DSL licensing customer at that time. The sale included: i) our DSL and home networking technology assets; ii) certain patents and patent applications related to those technology assets; iii) a group of 41 engineers; and iv) lab and computer equipment used by the transferred engineers.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Lantiq transaction, we no longer derive DSL contract revenue from Infineon or Lantiq. In 2008 and 2009, contract revenue from Infineon ranged from $0.5 million to $1.0 million per quarter, whereas we have recorded no such contract revenue from Infineon or Lantiq. We amended and restated the existing license agreement between us and Infineon to provide Lantiq (as successor to Infineon) certain non-exclusive licenses of our patent rights, and to continue Lantiq’s royalty obligations to Aware. We have continued to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derive contract revenue for engineering support and royalties per our existing agreements with Ikanos Communications, Inc. (“Ikanos”). We will not be pursuing new silicon intellectual property licensing customers for DSL or home networking applications for the foreseeable future. In addition, Aware subleased certain office and lab space to Lantiq at its main facilities in Bedford, Massachusetts. In the first, second and third quarters of 2010, engineering expenses associated with our licensing product line decreased by approximately $1.9 million per quarter, compared to the corresponding periods in 2009. We expect that quarterly engineering expenses in the fourth quarter of 2010 will decrease by $0.8 million to $1.0 million compared to the fourth quarter of 2009, because the Lantiq asset sale occurred in the midd le of the fourth quarter last year and we began to experience the effects of the expense reduction in that quarter.</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After the sale of our licensing product line to Lantiq in November 2009, we have operated as one segment with two principal product lines: i) biometrics products; and ii) DSL test and diagnostics products. We have also continued our patent licensing operations. The Lantiq transaction has had a minimal impact on the financial results of our biometrics and DSL test and diagnostics product lines. As it relates to our DSL test business, Aware and Lantiq have been and will continue to cooperate with one another with respect to embedded wire line diagnostics technology and products.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September 2010, we announced plans to pursue a spin-off of our patent licensing operations. The spin-off will allow the spun-off entity to focus on patent licensing operations and for Aware to focus on being a supplier of test and diagnostics products and biometrics and imaging software.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proposed transaction is expected to be structured as a tax-free distribution to Aware stockholders, and is contingent upon a number of items including, but not limited to, receipt of a favorable ruling from the Internal Revenue Service (“IRS”) as to the United States federal income tax consequences of the spin-off, a determination by Aware's board of directors that the spin-off is in the best interest of Aware, and the completion of a review process by the U.S. Securities &amp; Exchange Commission (“SEC”).</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we receive a favorable ruling from the IRS and our board of directors authorizes the spin-off, we expect to file documents with the SEC over the next few months and to complete the proposed transaction in the first half of fiscal 2011. The spin-off will result in two, independent publicly traded U.S. companies.</w:t>
      </w:r>
    </w:p>
    <w:p>
      <w:pPr>
        <w:spacing w:after="0" w:line="3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Summary of Financial Results</w:t>
      </w:r>
      <w:r>
        <w:rPr>
          <w:rFonts w:ascii="Arial" w:cs="Arial" w:eastAsia="Arial" w:hAnsi="Arial"/>
          <w:sz w:val="18"/>
          <w:szCs w:val="18"/>
          <w:color w:val="auto"/>
        </w:rPr>
        <w:t>. Net income in accordance with generally accepted accounting principles (“GAAP”) for the three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2010 was $76,000, or $0.00 per share, which compares to a GAAP net loss of $1.1 million, or minus $0.06 per share, for the three months ended September 30, 2009. Our GAAP net loss for the nine months ended September 30, 2010 was $50,000, or $0.00 per share, which compares to a GAAP net loss of $4.9 million, or minus $0.23 per share, for the nine months ended September 30, 2009.</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Readers of this report should keep in mind that our financial results for the three and nine month periods ended September 30, 2009 included the revenue and expense impact of the licensing product line that was sold to Lantiq in November 2009, whereas results for the three and nine month periods ended September 30, 2010 no longer included such revenue and expenses. The royalty obligations of Lantiq and Ikanos were not affected by the Lantiq transaction and therefore royalty revenue is included in all three and nine month periods ended September 30, 2010 and 2009.</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non-GAAP information internally to evaluate its operating performance and believes these non-GAAP measures are useful to investors as they provide additional insight into the underlying operating results. Our non-GAAP net income (loss) excludes the effect of stock-based compensation expense.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for the three months ended September 30, 2010, excluding the effect of $621,000 of stock-based compensation, was $697,000, or $0.03 per diluted share. We had a non-GAAP net loss for the three months ended September 30, 2009, excluding the effect of $677,000 of stock-based compensation, of $456,000, or minus $0.02 per diluted share.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Non-GAAP net income for the nine months ended September 30, 2010, excluding the effect of $1.2 million of stock-based compensation, was $1.1 million, or $0.06 per diluted share. We had a non-GAAP net loss for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nine months ended September 30, 2009, excluding the effect of $1.5 million of stock-based compensation, of $3.4 million, or minus $0.16 per diluted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to non-GAAP results is set forth in the table below (in thousands, except for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6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GAAP net income (loss)</w:t>
            </w:r>
          </w:p>
        </w:tc>
        <w:tc>
          <w:tcPr>
            <w:tcW w:w="20" w:type="dxa"/>
            <w:vAlign w:val="bottom"/>
          </w:tcPr>
          <w:p>
            <w:pPr>
              <w:spacing w:after="0"/>
              <w:rPr>
                <w:sz w:val="17"/>
                <w:szCs w:val="17"/>
                <w:color w:val="auto"/>
              </w:rPr>
            </w:pPr>
          </w:p>
        </w:tc>
        <w:tc>
          <w:tcPr>
            <w:tcW w:w="800" w:type="dxa"/>
            <w:vAlign w:val="bottom"/>
          </w:tcPr>
          <w:p>
            <w:pPr>
              <w:jc w:val="right"/>
              <w:ind w:right="63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(1,133)</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(4,851)</w:t>
            </w:r>
          </w:p>
        </w:tc>
        <w:tc>
          <w:tcPr>
            <w:tcW w:w="60" w:type="dxa"/>
            <w:vAlign w:val="bottom"/>
          </w:tcPr>
          <w:p>
            <w:pPr>
              <w:spacing w:after="0"/>
              <w:rPr>
                <w:sz w:val="17"/>
                <w:szCs w:val="17"/>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1,169</w:t>
            </w: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1,476</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697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60" w:type="dxa"/>
            <w:vAlign w:val="bottom"/>
          </w:tcPr>
          <w:p>
            <w:pPr>
              <w:spacing w:after="0"/>
              <w:rPr>
                <w:sz w:val="18"/>
                <w:szCs w:val="18"/>
                <w:color w:val="auto"/>
              </w:rPr>
            </w:pPr>
          </w:p>
        </w:tc>
      </w:tr>
      <w:tr>
        <w:trPr>
          <w:trHeight w:val="21"/>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GAAP net income (loss) per share</w:t>
            </w:r>
          </w:p>
        </w:tc>
        <w:tc>
          <w:tcPr>
            <w:tcW w:w="20" w:type="dxa"/>
            <w:vAlign w:val="bottom"/>
          </w:tcPr>
          <w:p>
            <w:pPr>
              <w:spacing w:after="0"/>
              <w:rPr>
                <w:sz w:val="17"/>
                <w:szCs w:val="17"/>
                <w:color w:val="auto"/>
              </w:rPr>
            </w:pPr>
          </w:p>
        </w:tc>
        <w:tc>
          <w:tcPr>
            <w:tcW w:w="780" w:type="dxa"/>
            <w:vAlign w:val="bottom"/>
          </w:tcPr>
          <w:p>
            <w:pPr>
              <w:jc w:val="right"/>
              <w:ind w:right="646"/>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96"/>
              </w:rPr>
              <w:t>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w w:val="80"/>
              </w:rPr>
              <w:t>(0.06)</w:t>
            </w:r>
          </w:p>
        </w:tc>
        <w:tc>
          <w:tcPr>
            <w:tcW w:w="20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(0.23)</w:t>
            </w:r>
          </w:p>
        </w:tc>
        <w:tc>
          <w:tcPr>
            <w:tcW w:w="60" w:type="dxa"/>
            <w:vAlign w:val="bottom"/>
          </w:tcPr>
          <w:p>
            <w:pPr>
              <w:spacing w:after="0"/>
              <w:rPr>
                <w:sz w:val="17"/>
                <w:szCs w:val="17"/>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0.03</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Non-GAAP net income (loss) per share</w:t>
            </w: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6"/>
              </w:rPr>
              <w:t>0.03</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(0.02)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Product Sales. </w:t>
      </w:r>
      <w:r>
        <w:rPr>
          <w:rFonts w:ascii="Arial" w:cs="Arial" w:eastAsia="Arial" w:hAnsi="Arial"/>
          <w:sz w:val="18"/>
          <w:szCs w:val="18"/>
          <w:color w:val="auto"/>
        </w:rPr>
        <w:t>Product sales consist primarily of revenue from the sale of hardware and software products. Hardware products consist primarily of DSL 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diagnostics modules. Software products consist of software products, including maintenance contracts, for biometric, medical imaging and digital imaging applications, as well as DSL test and diagnostics software.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Product sales increased 8% from $4.7 million in the third quarter of 2009 to $5.0 million in the current year quarter. As a percentage of total revenue, product sales increased from 75% in the third quarter of 2009 to 82% in the current year quarter. The dollar increase in product sales was primarily due to a $0.7 million increase in revenue from the sale of test and diagnostics hardware and a $0.4 million increase in revenue from the sale of test and diagnostics software. Revenue increases from test and diagnostics product sales were partially offset by $0.7 million less revenue from the sale of biometrics software. The $0.7 million increase in revenue from the sale of test and diagnostic hardware was mainly attributable to a large hardware sale to an OEM customer that is deploying test equipment into a major service provider. The $0.4 million increase in revenue from the sale of test and diagnostic software was mainly attributable to revenue from our LDP (Line Diagnostics Platform) software, which was partially offset by lower sales of our Dr. DSL software. The $0.7 million decrease in revenue from the sale of biometrics software was primarily due to the absence of any large sales transaction in the current quarter as compared to several large transactions in the year ago quarter.</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nine months ended September 30, 2010, product sales increased 20% from $11.3 million in 2009 to $13.6 million in 2010. As a percentage of total revenue, product sales increased from 68% in the first nine months of 2009 to 81% in the corresponding period of 2010. The dollar increase in product sales was primarily due to a $1.5 million increase in revenue from the sale of test and diagnostics hardware, and a $0.7 million increase in revenue from the sale of biometrics software. The $1.5 million increase in revenue from the sale of test and diagnostic products was mainly attributable to a large hardware sale to an OEM customer that is deploying test equipment into a major service provider. The $0.7 million increase in revenue from the sale of biometrics software was primarily due to stronger 2010 sales after a weak first half of 2 009.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Lantiq transaction has not affected product sales nor do we expect that it will in the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Contract Revenue. </w:t>
      </w:r>
      <w:r>
        <w:rPr>
          <w:rFonts w:ascii="Arial" w:cs="Arial" w:eastAsia="Arial" w:hAnsi="Arial"/>
          <w:sz w:val="18"/>
          <w:szCs w:val="18"/>
          <w:color w:val="auto"/>
        </w:rPr>
        <w:t>Contract revenue consists of patent, license and engineering service fees that we receive under agreements relating to the sale or license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Aware’s patents, DSL technology, DSL test and diagnostic technology, and biometrics technology.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revenue decreased 51% from $1.0 million in the third quarter of 2009 to $0.5 million in the current year quarter. As a percentage of total revenue, contract revenue decreased from 16% in the third quarter of 2009 to 8%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2010, contract revenue decreased 72% from $3.7 million in 2009 to $1.0 million in 2010. As a percentage of total revenue, contract revenue decreased from 22% in the first nine months of 2009 to 6% in the corresponding period of 2010.</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and nine month periods, the contract revenue dollar decrease was primarily due to lower contract revenue from DSL technology contracts, and, to a lesser degree, from lower contract revenue from biometrics professional services contracts. Contract revenue from DSL technology contracts decreased by $0.6 million and $2.2 million for the three and nine month periods, respectively. The decrease in contract revenue from DSL technology contracts in both periods was attributable to the sale of our licensing product line to Lantiq in November 2009. Contract revenue from biometrics professional services contracts decreased by $36,000 and $0.7 million for the three and nine month periods, respectively. The decrease in contract revenue from biometrics professional services contracts in both periods was primarily due to the completion of a significant customer project during the first nine months of 2009. Decreases in contract revenue from DSL technology contracts and biometrics professional services contracts were partially offset by minor increases in contract revenue from test and diagnostics professional services contracts.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any contract revenue from DSL technology contracts will be minimal in future periods as a result of the sale of our licensing product line to Lantiq. Moreover, we will not be pursuing new silicon IP licensing customers for DSL or home networking applications in the foreseeable future. Other potential sources of future contract revenue include revenue from i) biometrics professional services contracts; and ii) DSL test and diagnostic professional services contracts. There were no patent sales or licenses in 2009 or the first nine months of 2010, and if the proposed spin-off of our patent licensing operations is successful, we would not expect such patent revenue in future periods as well.</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Royalties. </w:t>
      </w:r>
      <w:r>
        <w:rPr>
          <w:rFonts w:ascii="Arial" w:cs="Arial" w:eastAsia="Arial" w:hAnsi="Arial"/>
          <w:sz w:val="17"/>
          <w:szCs w:val="17"/>
          <w:color w:val="auto"/>
        </w:rPr>
        <w:t>Royalties consist of royalty payments that we receive under agreements with our customers. We receive royalties from customers for rights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Aware technology and/or patents, typically associated with the incorporation of Aware technology and/or patents in customer chipsets.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increased 15% from $554,000 in the third quarter of 2009 to $637,000 in the current year quarter. As a percentage of total revenue, royalties increased from 9% in the third quarter of 2009 to 10%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2010, royalties increased 40% from $1.5 million in 2009 to $2.1 million in 2010. As a percentage of total revenue, royalties increased from 9% in the first nine months of 2009 to 13% in the corresponding period of 2010.</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and nine month periods, most of the dollar increase in royalties was due to higher ADSL royalties reported to us by one of our licensees. We are unable to predict whether the increased royalties reported by this licensee in the first nine months of 2010 will trend upward or downward in future quarters.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royalty revenue currently comes predominantly from ADSL chipset sales by Ikanos and ADSL and VDSL chipset sales by Lantiq (formerly Infineon). The Lantiq transaction did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Also, as a result of the Lantiq transaction, we will not be pursuing new silicon intellectual property licensing customers for DSL or home networking applications in the foreseeable future that might lead to royalties from new customers.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Since the cost of software product sales is minimal, cost of product sales consists primarily of the cost of hardware product sales.</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product sales increased 44% from $0.9 million in the third quarter of 2009 to $1.2 million in the current year quarter. As a percentage of product sales, cost of product sales increased from 18% in the third quarter of 2009 to 25% in the current year quarter, which means that product gross margins decreased from 82% to 75%. The cost of product sales dollar increase was primarily due to higher sales of test and diagnostics hardware products. The decrease in product gross margins was primarily due to a greater proportion of hardware revenue in product sales in the current quarter versus the year ago quarter.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2010, cost of product sales increased 29% from $2.4 million in 2009 to $3.1 million in 2010. As a percentage of product sales, cost of product sales increased from 21% in the first nine months of 2009 to 23% in the corresponding period of 2010, which means that product gross margins decreased from 79% to 77%. The cost of product sales dollar increase was primarily due to higher sales of test and diagnostics hardware products in the nine month period this year. The decrease in product gross margins was primarily due to a greater proportion of hardware revenue in product sales in the nine month period this year versus the corresponding period last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Cost of Contract Revenue. </w:t>
      </w:r>
      <w:r>
        <w:rPr>
          <w:rFonts w:ascii="Arial" w:cs="Arial" w:eastAsia="Arial" w:hAnsi="Arial"/>
          <w:sz w:val="18"/>
          <w:szCs w:val="18"/>
          <w:color w:val="auto"/>
        </w:rPr>
        <w:t>Cost of contract revenue consists primarily of compensation costs for engineers and expenses for consultants, recruiting,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depreciation and facilities associated with customer engineering services projects. Cost of contract revenue also includes direct expenses for third party contractors and consultants for biometrics professional services contracts. Our total engineering costs are allocated between cost of contract revenue and research and development expense. In a given period, the allocation of engineering costs between cost of contract revenue and research and development is a function of the level of effort expended on each.</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contract revenue decreased 71% from $0.7 million in the third quarter of 2009 to $0.2 million in the current year quarter. Cost of contract revenue as a percentage of contract revenue was 71% in the third quarter of 2009 and 42% in the current quarter, which means that gross margins on contract revenue increased from 29% to 58%.</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2010, cost of contract revenue decreased 86% from $2.5 million in the first nine months of 2009 to $0.4 million in the corresponding period of 2010. Cost of contract revenue as a percentage of contract revenue decreased from 68% in the first nine months of 2009 to 34% in the corresponding period of 2010, which means that gross margins on contract revenue increased from 32% to 66%.</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 periods, the dollar decrease in cost of contract revenue was primarily due to lower revenue from DSL technology contracts and, to a lesser degree, from lower revenue from biometrics professional services contracts. The increase in gross margins on contract revenue in the three and nine month periods in 2010 was primarily due to a greater proportion of biometrics professional services contracts in contract revenue. Biometrics professional services possess higher gross margins than DSL technology contract revenue.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primarily of compensation costs for engineers and expenses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recruiting, supplies, equipment, depreciation and facilities related to engineering projects to improve our communications, test, biometrics and imaging technology, as well as our software and hardware products. Our total engineering costs are allocated between cost of contract revenue and research and development expense. In a given period, the allocation of engineering costs between cost of contract revenue and research and development is a function of the level of effort expended on each.</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Research and development expense decreased 34% from $3.2 million in the third quarter of 2009 to $2.1 million in the current year quarter. As a percentage of total revenue, research and development expense decreased from 51% in the third quarter of 2009 to 34% in the current year quarter.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Research and development expense decreased 34% from $9.3 million in the first nine months of 2009 to $6.2 million in the first nine months of 2010. As a percentage of total revenue, research and development expense decreased from 56% in the first nine months of 2009 to 37% in the corresponding period of 2010.</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nine month periods, the dollar decrease in research and development expense was primarily due to a reduction of engineering expenses as a result of the sale of our DSL licensing product line to Lantiq, which was partially offset by higher spending in our biometrics and test and diagnostics engineering organizations.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closing of the Lantiq transaction, our research and development activities have been focused primarily on developing biometrics and imaging software, and developing test and diagnostics hardware and software.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consists primarily of compensation costs for sales and marketing personnel,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and promotion, recruiting, and facilities expense.</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and marketing expense decreased 18% from $1.3 million in the third quarter of 2009 to $1.0 million in the current year quarter. As a percentage of total revenue, selling and marketing expense decreased from 20% in the third quarter of 2009 to 17% in the current year quarter. The dollar decrease in selling and marketing expense was primarily due to lower stock-based compensation expenses, lower sales commissions, and lower travel expenses.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2010, selling and marketing expense decreased 10% from $3.5 million in 2009 to $3.1 million in 2010. As a percentage of total revenue, sales and marketing expense decreased from 21% in the first nine months of 2009 to 19% in the corresponding period of 2010. The dollar decrease in selling and marketing expense was primarily due to lower headcount in our sales and marketing organization as well as lower stock-based compensation expenses. Lower spending attributable to these factors was partially offset by higher spending on advertising and promotion activities, travel expenses, and sales consultants in foreign countries.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the Lantiq transaction did not involve any of our sales and marketing personnel, the transaction had a minimal impact on 2010 expenses and we expect that it will have a minimal impact on future selling and marketing expense.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General and administrative expense consists primarily of compensation costs for administrative personnel,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bad debt, audit, legal, stock exchange and insurance expenses.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 increased 19% from $1.4 million in the third quarter of 2009 to $1.7 million in the current year quarter. As a percentage of total revenue, general and administrative expense increased from 22% in the third quarter of 2009 to 27% in the current year quarter. The dollar increase in general and administrative expense was mainly attributable to higher spending on: i) stock-based compensation of $0.2 million, ii) professional fees related to our proposed spin-off of our patent licensing operations of $0.2 million, and ii) legal fees related to patent filings of $0.1 million. These expense increases were partially offset by $0.2 million of other spending reductions.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nine months ended September 30, 2010, general and administrative expense increased 17% from $3.8 million in 2009 to $4.5 million in 2010. As a percentage of total revenue, general and administrative expense increased from 23% in the first nine months of 2009 to 27% in the corresponding period of 2010. The dollar increase in general and administrative expense was mainly attributable to higher spending on: i) stock-based compensation of $0.1 million,</w:t>
      </w:r>
    </w:p>
    <w:p>
      <w:pPr>
        <w:ind w:firstLine="8"/>
        <w:spacing w:after="0" w:line="261" w:lineRule="auto"/>
        <w:tabs>
          <w:tab w:leader="none" w:pos="227"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fees related to our proposed spin-off of our patent licensing operations of $0.3 million, and ii) legal fees related to patent filings of $0.3 million.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Since the Lantiq transaction did not involve any of our administrative personnel, the transaction had a minimal impact on 2010 expenses and we expect that it will have a minimal impact on future general and administrative expense.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was $100,000 and $425,000 in the three and nine month periods ended September 30, 2010, respectively. The other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in both periods represents proceeds from a legal settlement with a former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11% from $31,000 in the third quarter of 2009 to $28,000 in the current year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2010, interest income decreased 69%, from $217,000 in 2009 to $67,000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 periods, the dollar decrease was primarily due to a decline in money market interest rates.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made no provision for income taxes in the first nine months of 2010 and 2009 due to net losses incurred, and the uncertainty of the timing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profitability in future periods, except for $1,000 and $5,000 of state excise tax paid in the first nine months of 2010 and 2009, respectively. In 2002, we determined that due to our continuing operating losses as well as the uncertainty of the timing of profitability in future periods, we should fully reserve our deferred tax assets. As of September 30, 2010, our deferred tax assets continue to be fully reserved. We will continue to evaluate, on a quarterly basis, the positive and negative evidence affecting the realizability of our deferred tax assets.</w:t>
      </w:r>
      <w:r>
        <w:rPr>
          <w:rFonts w:ascii="Arial" w:cs="Arial" w:eastAsia="Arial" w:hAnsi="Arial"/>
          <w:sz w:val="20"/>
          <w:szCs w:val="20"/>
          <w:color w:val="auto"/>
        </w:rPr>
        <w:t>&lt; /div&gt;</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2009, we had federal net operating loss (“NOLs”) and research and experimentation credit carryforwards of approximately $47.6 million and $13.4 million respectively, which may be available to offset future federal income tax liabilities and expire at various dates from 2010 through 2029. In addition, at December 31, 2009, we had approximately $10.3 million and $7.1 million of state net operating losses and state research and development and investment tax carryforwards, respectively, which expire at various dates from 2010 through 2024.</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an analysis that we performed under Internal Revenue Code Section 382 on our NOLs generated for the period 1997 through 2009, we have not experienced a change in ownership as defined by Section 382, and, therefore, the NOLs are not currently under any Section 382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2010, we had cash and cash equivalents of $39.0 million, which represented a decrease of $628,000 from December 31, 2009. The decrease in cash was primarily due to: i) $208,000 of cash used by operations; ii) $101,000 of cash used to purchase capital equipment; iii) $60,000 of cash used to purchase other assets; iv) $161,000 of cash used to pay withholding taxes for employees who surrendered shares of common stock in connection with an employee option exchange program; and v) $100,000 of transaction expenses paid in the first quarter of 2010 that related to the 2009 sale of assets to Lantiq.</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$208,000 of cash in operations in the first nine months of 2010. This cash usage was primarily the result of a net loss of $50,000 and $1.715 million of cash used to fund working capital items, which was partially offset by non-cash items related to depreciation and amortization of $388,000, and stock-based compensation expense of $1.169 million. The $50,000 net loss in the nine months ended September 30, 2010 includes $425,000 of proceeds from a legal settlement with a former customer.</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Capital spending was primarily related to the purchase of computer hardware and laboratory equipment used principally in engineering activities.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In January 2010, we completed an employee option exchange program in which we allowed participating employees to surrender a portion of their shares of common stock in return for the Company paying withholding taxes related to their stock grants. As a result of this provision, employees surrendered 60,659 shares of common stock and we paid approximately $161,000 of withholding taxes on their behalf.</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H to our Consolidated Financial Statements in Item 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has included:</w:t>
      </w:r>
    </w:p>
    <w:p>
      <w:pPr>
        <w:spacing w:after="0" w:line="197" w:lineRule="exact"/>
        <w:rPr>
          <w:sz w:val="20"/>
          <w:szCs w:val="20"/>
          <w:color w:val="auto"/>
        </w:rPr>
      </w:pPr>
    </w:p>
    <w:p>
      <w:pPr>
        <w:ind w:left="980" w:hanging="28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which consist of financial instruments with original maturities of three months or less;</w:t>
      </w:r>
    </w:p>
    <w:p>
      <w:pPr>
        <w:spacing w:after="0" w:line="23" w:lineRule="exact"/>
        <w:rPr>
          <w:rFonts w:ascii="Arial" w:cs="Arial" w:eastAsia="Arial" w:hAnsi="Arial"/>
          <w:sz w:val="18"/>
          <w:szCs w:val="18"/>
          <w:color w:val="auto"/>
        </w:rPr>
      </w:pPr>
    </w:p>
    <w:p>
      <w:pPr>
        <w:ind w:left="980" w:hanging="28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Short-term investments, which consist of financial instruments with remaining maturities of twelve months or less; and</w:t>
      </w:r>
    </w:p>
    <w:p>
      <w:pPr>
        <w:spacing w:after="0" w:line="9" w:lineRule="exact"/>
        <w:rPr>
          <w:rFonts w:ascii="Arial" w:cs="Arial" w:eastAsia="Arial" w:hAnsi="Arial"/>
          <w:sz w:val="18"/>
          <w:szCs w:val="18"/>
          <w:color w:val="auto"/>
        </w:rPr>
      </w:pPr>
    </w:p>
    <w:p>
      <w:pPr>
        <w:ind w:left="980" w:hanging="28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which consist of financial instruments that mature in three years or less.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2010, our cash and cash equivalents of $39.0 million were invested in money market accounts. Due to the nature and short duration of these financial instruments, we do not expect that an increase in interest rates would result in any material loss to our investment portfolio. As of September 30, 2010, we had no investments that matured in more than twelve months. We do not use derivative financial instruments for speculative or trading purposes.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chief executive officer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2009,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1980"/>
              <w:spacing w:after="0"/>
              <w:rPr>
                <w:sz w:val="20"/>
                <w:szCs w:val="20"/>
                <w:color w:val="auto"/>
              </w:rPr>
            </w:pPr>
            <w:r>
              <w:rPr>
                <w:rFonts w:ascii="Arial" w:cs="Arial" w:eastAsia="Arial" w:hAnsi="Arial"/>
                <w:sz w:val="18"/>
                <w:szCs w:val="18"/>
                <w:b w:val="1"/>
                <w:bCs w:val="1"/>
                <w:color w:val="auto"/>
              </w:rPr>
              <w:t>AWARE, INC.</w:t>
            </w:r>
          </w:p>
        </w:tc>
      </w:tr>
      <w:tr>
        <w:trPr>
          <w:trHeight w:val="655"/>
        </w:trPr>
        <w:tc>
          <w:tcPr>
            <w:tcW w:w="3680" w:type="dxa"/>
            <w:vAlign w:val="bottom"/>
          </w:tcPr>
          <w:p>
            <w:pPr>
              <w:spacing w:after="0"/>
              <w:rPr>
                <w:sz w:val="20"/>
                <w:szCs w:val="20"/>
                <w:color w:val="auto"/>
              </w:rPr>
            </w:pPr>
            <w:r>
              <w:rPr>
                <w:rFonts w:ascii="Arial" w:cs="Arial" w:eastAsia="Arial" w:hAnsi="Arial"/>
                <w:sz w:val="18"/>
                <w:szCs w:val="18"/>
                <w:color w:val="auto"/>
              </w:rPr>
              <w:t>Date: October 29, 2010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C. Reiter</w:t>
            </w:r>
          </w:p>
        </w:tc>
      </w:tr>
      <w:tr>
        <w:trPr>
          <w:trHeight w:val="202"/>
        </w:trPr>
        <w:tc>
          <w:tcPr>
            <w:tcW w:w="36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Edmund C. Reiter, President &amp; Chief</w:t>
            </w:r>
          </w:p>
        </w:tc>
      </w:tr>
      <w:tr>
        <w:trPr>
          <w:trHeight w:val="230"/>
        </w:trPr>
        <w:tc>
          <w:tcPr>
            <w:tcW w:w="36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655"/>
        </w:trPr>
        <w:tc>
          <w:tcPr>
            <w:tcW w:w="3680" w:type="dxa"/>
            <w:vAlign w:val="bottom"/>
          </w:tcPr>
          <w:p>
            <w:pPr>
              <w:spacing w:after="0"/>
              <w:rPr>
                <w:sz w:val="20"/>
                <w:szCs w:val="20"/>
                <w:color w:val="auto"/>
              </w:rPr>
            </w:pPr>
            <w:r>
              <w:rPr>
                <w:rFonts w:ascii="Arial" w:cs="Arial" w:eastAsia="Arial" w:hAnsi="Arial"/>
                <w:sz w:val="18"/>
                <w:szCs w:val="18"/>
                <w:color w:val="auto"/>
              </w:rPr>
              <w:t>Date: October 29, 2010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202"/>
        </w:trPr>
        <w:tc>
          <w:tcPr>
            <w:tcW w:w="36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Richard P. Moberg, Chief Financial Officer</w:t>
            </w:r>
          </w:p>
        </w:tc>
      </w:tr>
      <w:tr>
        <w:trPr>
          <w:trHeight w:val="230"/>
        </w:trPr>
        <w:tc>
          <w:tcPr>
            <w:tcW w:w="36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13"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Edmund C. Reiter, President and 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color w:val="auto"/>
              </w:rPr>
              <w:t>Date: October 29, 2010</w:t>
            </w:r>
          </w:p>
        </w:tc>
        <w:tc>
          <w:tcPr>
            <w:tcW w:w="6420" w:type="dxa"/>
            <w:vAlign w:val="bottom"/>
            <w:gridSpan w:val="2"/>
          </w:tcPr>
          <w:p>
            <w:pPr>
              <w:ind w:left="2920"/>
              <w:spacing w:after="0"/>
              <w:rPr>
                <w:sz w:val="20"/>
                <w:szCs w:val="20"/>
                <w:color w:val="auto"/>
              </w:rPr>
            </w:pPr>
            <w:r>
              <w:rPr>
                <w:rFonts w:ascii="Arial" w:cs="Arial" w:eastAsia="Arial" w:hAnsi="Arial"/>
                <w:sz w:val="18"/>
                <w:szCs w:val="18"/>
                <w:color w:val="auto"/>
              </w:rPr>
              <w:t>/s/ Edmund C. Reiter</w:t>
            </w:r>
          </w:p>
        </w:tc>
      </w:tr>
      <w:tr>
        <w:trPr>
          <w:trHeight w:val="222"/>
        </w:trPr>
        <w:tc>
          <w:tcPr>
            <w:tcW w:w="48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2920" w:type="dxa"/>
            <w:vAlign w:val="bottom"/>
          </w:tcPr>
          <w:p>
            <w:pPr>
              <w:spacing w:after="0"/>
              <w:rPr>
                <w:sz w:val="19"/>
                <w:szCs w:val="19"/>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Edmund C. Reiter</w:t>
            </w:r>
          </w:p>
        </w:tc>
      </w:tr>
      <w:tr>
        <w:trPr>
          <w:trHeight w:val="230"/>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20" w:type="dxa"/>
            <w:vAlign w:val="bottom"/>
            <w:gridSpan w:val="2"/>
          </w:tcPr>
          <w:p>
            <w:pPr>
              <w:ind w:left="29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420"/>
          </w:cols>
          <w:pgMar w:left="240" w:top="24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700" w:right="120" w:hanging="639"/>
        <w:spacing w:after="0" w:line="286" w:lineRule="auto"/>
        <w:tabs>
          <w:tab w:leader="none" w:pos="17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color w:val="auto"/>
              </w:rPr>
              <w:t>Date: October 29, 2010</w:t>
            </w:r>
          </w:p>
        </w:tc>
        <w:tc>
          <w:tcPr>
            <w:tcW w:w="5440" w:type="dxa"/>
            <w:vAlign w:val="bottom"/>
            <w:gridSpan w:val="2"/>
          </w:tcPr>
          <w:p>
            <w:pPr>
              <w:ind w:left="2240"/>
              <w:spacing w:after="0"/>
              <w:rPr>
                <w:sz w:val="20"/>
                <w:szCs w:val="20"/>
                <w:color w:val="auto"/>
              </w:rPr>
            </w:pPr>
            <w:r>
              <w:rPr>
                <w:rFonts w:ascii="Arial" w:cs="Arial" w:eastAsia="Arial" w:hAnsi="Arial"/>
                <w:sz w:val="18"/>
                <w:szCs w:val="18"/>
                <w:color w:val="auto"/>
              </w:rPr>
              <w:t>/s/ Richard P. Moberg</w:t>
            </w:r>
          </w:p>
        </w:tc>
      </w:tr>
      <w:tr>
        <w:trPr>
          <w:trHeight w:val="222"/>
        </w:trPr>
        <w:tc>
          <w:tcPr>
            <w:tcW w:w="440" w:type="dxa"/>
            <w:vAlign w:val="bottom"/>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P. Moberg</w:t>
            </w:r>
          </w:p>
        </w:tc>
      </w:tr>
      <w:tr>
        <w:trPr>
          <w:trHeight w:val="230"/>
        </w:trPr>
        <w:tc>
          <w:tcPr>
            <w:tcW w:w="4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440" w:type="dxa"/>
            <w:vAlign w:val="bottom"/>
            <w:gridSpan w:val="2"/>
          </w:tcPr>
          <w:p>
            <w:pPr>
              <w:ind w:left="22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4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September 30, 2010,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567"/>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hanging="567"/>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Edmund C. Reiter</w:t>
            </w:r>
          </w:p>
        </w:tc>
        <w:tc>
          <w:tcPr>
            <w:tcW w:w="2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c>
          <w:tcPr>
            <w:tcW w:w="3760" w:type="dxa"/>
            <w:vAlign w:val="bottom"/>
            <w:gridSpan w:val="2"/>
          </w:tcPr>
          <w:p>
            <w:pPr>
              <w:ind w:left="1520"/>
              <w:spacing w:after="0"/>
              <w:rPr>
                <w:sz w:val="20"/>
                <w:szCs w:val="20"/>
                <w:color w:val="auto"/>
              </w:rPr>
            </w:pPr>
            <w:r>
              <w:rPr>
                <w:rFonts w:ascii="Arial" w:cs="Arial" w:eastAsia="Arial" w:hAnsi="Arial"/>
                <w:sz w:val="18"/>
                <w:szCs w:val="18"/>
                <w:color w:val="auto"/>
              </w:rPr>
              <w:t>Chief Financial Officer</w:t>
            </w:r>
          </w:p>
        </w:tc>
      </w:tr>
      <w:tr>
        <w:trPr>
          <w:trHeight w:val="648"/>
        </w:trPr>
        <w:tc>
          <w:tcPr>
            <w:tcW w:w="4180" w:type="dxa"/>
            <w:vAlign w:val="bottom"/>
            <w:gridSpan w:val="2"/>
          </w:tcPr>
          <w:p>
            <w:pPr>
              <w:spacing w:after="0"/>
              <w:rPr>
                <w:sz w:val="20"/>
                <w:szCs w:val="20"/>
                <w:color w:val="auto"/>
              </w:rPr>
            </w:pPr>
            <w:r>
              <w:rPr>
                <w:rFonts w:ascii="Arial" w:cs="Arial" w:eastAsia="Arial" w:hAnsi="Arial"/>
                <w:sz w:val="18"/>
                <w:szCs w:val="18"/>
                <w:color w:val="auto"/>
              </w:rPr>
              <w:t>Date: October 29, 2010</w:t>
            </w:r>
          </w:p>
        </w:tc>
        <w:tc>
          <w:tcPr>
            <w:tcW w:w="3760" w:type="dxa"/>
            <w:vAlign w:val="bottom"/>
            <w:gridSpan w:val="2"/>
          </w:tcPr>
          <w:p>
            <w:pPr>
              <w:ind w:left="1520"/>
              <w:spacing w:after="0"/>
              <w:rPr>
                <w:sz w:val="20"/>
                <w:szCs w:val="20"/>
                <w:color w:val="auto"/>
              </w:rPr>
            </w:pPr>
            <w:r>
              <w:rPr>
                <w:rFonts w:ascii="Arial" w:cs="Arial" w:eastAsia="Arial" w:hAnsi="Arial"/>
                <w:sz w:val="18"/>
                <w:szCs w:val="18"/>
                <w:color w:val="auto"/>
              </w:rPr>
              <w:t>Date: October 29, 2010</w:t>
            </w:r>
          </w:p>
        </w:tc>
      </w:tr>
    </w:tbl>
    <w:p>
      <w:pPr>
        <w:spacing w:after="0" w:line="200" w:lineRule="exact"/>
        <w:rPr>
          <w:sz w:val="20"/>
          <w:szCs w:val="20"/>
          <w:color w:val="auto"/>
        </w:rPr>
      </w:pP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1"/>
    </w:lvl>
  </w:abstractNum>
  <w:abstractNum w:abstractNumId="1">
    <w:nsid w:val="2EB141F2"/>
    <w:multiLevelType w:val="hybridMultilevel"/>
    <w:lvl w:ilvl="0">
      <w:lvlJc w:val="left"/>
      <w:lvlText w:val="%1)"/>
      <w:numFmt w:val="upperLetter"/>
      <w:start w:val="4"/>
    </w:lvl>
  </w:abstractNum>
  <w:abstractNum w:abstractNumId="2">
    <w:nsid w:val="41B71EFB"/>
    <w:multiLevelType w:val="hybridMultilevel"/>
    <w:lvl w:ilvl="0">
      <w:lvlJc w:val="left"/>
      <w:lvlText w:val="%1)"/>
      <w:numFmt w:val="upperLetter"/>
      <w:start w:val="5"/>
    </w:lvl>
  </w:abstractNum>
  <w:abstractNum w:abstractNumId="3">
    <w:nsid w:val="79E2A9E3"/>
    <w:multiLevelType w:val="hybridMultilevel"/>
    <w:lvl w:ilvl="0">
      <w:lvlJc w:val="left"/>
      <w:lvlText w:val="%1)"/>
      <w:numFmt w:val="upperLetter"/>
      <w:start w:val="6"/>
    </w:lvl>
  </w:abstractNum>
  <w:abstractNum w:abstractNumId="4">
    <w:nsid w:val="7545E146"/>
    <w:multiLevelType w:val="hybridMultilevel"/>
    <w:lvl w:ilvl="0">
      <w:lvlJc w:val="left"/>
      <w:lvlText w:val="%1)"/>
      <w:numFmt w:val="upperLetter"/>
      <w:start w:val="7"/>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2019-12-10T14:21:16Z</dcterms:created>
  <dcterms:modified xsi:type="dcterms:W3CDTF">2019-12-10T14:21:16Z</dcterms:modified>
</cp:coreProperties>
</file>