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9" w:lineRule="auto"/>
        <w:framePr w:w="3620" w:h="160" w:wrap="auto" w:vAnchor="page" w:hAnchor="page" w:x="6780" w:y="7002"/>
        <w:rPr>
          <w:rFonts w:ascii="Arial" w:cs="Arial" w:eastAsia="Arial" w:hAnsi="Arial"/>
          <w:sz w:val="16"/>
          <w:szCs w:val="16"/>
          <w:b w:val="1"/>
          <w:bCs w:val="1"/>
          <w:color w:val="auto"/>
        </w:rPr>
      </w:pPr>
      <w:r>
        <w:rPr>
          <w:rFonts w:ascii="Arial" w:cs="Arial" w:eastAsia="Arial" w:hAnsi="Arial"/>
          <w:sz w:val="16"/>
          <w:szCs w:val="16"/>
          <w:b w:val="1"/>
          <w:bCs w:val="1"/>
          <w:color w:val="auto"/>
        </w:rPr>
        <w:t>Name of Each Exchange on Which Registered</w:t>
      </w:r>
    </w:p>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rFonts w:ascii="Arial" w:cs="Arial" w:eastAsia="Arial" w:hAnsi="Arial"/>
          <w:sz w:val="16"/>
          <w:szCs w:val="16"/>
          <w:b w:val="1"/>
          <w:bCs w:val="1"/>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rFonts w:ascii="Arial" w:cs="Arial" w:eastAsia="Arial" w:hAnsi="Arial"/>
          <w:sz w:val="16"/>
          <w:szCs w:val="16"/>
          <w:b w:val="1"/>
          <w:bCs w:val="1"/>
          <w:color w:val="auto"/>
        </w:rPr>
      </w:pPr>
    </w:p>
    <w:p>
      <w:pPr>
        <w:jc w:val="center"/>
        <w:ind w:right="-259"/>
        <w:spacing w:after="0"/>
        <w:rPr>
          <w:sz w:val="20"/>
          <w:szCs w:val="20"/>
          <w:color w:val="auto"/>
        </w:rPr>
      </w:pPr>
      <w:r>
        <w:rPr>
          <w:rFonts w:ascii="Arial" w:cs="Arial" w:eastAsia="Arial" w:hAnsi="Arial"/>
          <w:sz w:val="18"/>
          <w:szCs w:val="18"/>
          <w:color w:val="auto"/>
        </w:rPr>
        <w:t>Washington, D.C. 20549</w:t>
      </w:r>
    </w:p>
    <w:p>
      <w:pPr>
        <w:spacing w:after="0" w:line="234" w:lineRule="exact"/>
        <w:rPr>
          <w:rFonts w:ascii="Arial" w:cs="Arial" w:eastAsia="Arial" w:hAnsi="Arial"/>
          <w:sz w:val="16"/>
          <w:szCs w:val="16"/>
          <w:b w:val="1"/>
          <w:bCs w:val="1"/>
          <w:color w:val="auto"/>
        </w:rPr>
      </w:pPr>
    </w:p>
    <w:p>
      <w:pPr>
        <w:jc w:val="center"/>
        <w:ind w:right="-259"/>
        <w:spacing w:after="0"/>
        <w:rPr>
          <w:sz w:val="20"/>
          <w:szCs w:val="20"/>
          <w:color w:val="auto"/>
        </w:rPr>
      </w:pPr>
      <w:r>
        <w:rPr>
          <w:rFonts w:ascii="Arial" w:cs="Arial" w:eastAsia="Arial" w:hAnsi="Arial"/>
          <w:sz w:val="18"/>
          <w:szCs w:val="18"/>
          <w:b w:val="1"/>
          <w:bCs w:val="1"/>
          <w:color w:val="auto"/>
        </w:rPr>
        <w:t>FORM 10-K</w:t>
      </w:r>
    </w:p>
    <w:p>
      <w:pPr>
        <w:spacing w:after="0" w:line="252" w:lineRule="exact"/>
        <w:rPr>
          <w:rFonts w:ascii="Arial" w:cs="Arial" w:eastAsia="Arial" w:hAnsi="Arial"/>
          <w:sz w:val="16"/>
          <w:szCs w:val="16"/>
          <w:b w:val="1"/>
          <w:bCs w:val="1"/>
          <w:color w:val="auto"/>
        </w:rPr>
      </w:pPr>
    </w:p>
    <w:p>
      <w:pPr>
        <w:jc w:val="center"/>
        <w:ind w:right="-259"/>
        <w:spacing w:after="0"/>
        <w:rPr>
          <w:sz w:val="20"/>
          <w:szCs w:val="20"/>
          <w:color w:val="auto"/>
        </w:rPr>
      </w:pPr>
      <w:r>
        <w:rPr>
          <w:rFonts w:ascii="Arial" w:cs="Arial" w:eastAsia="Arial" w:hAnsi="Arial"/>
          <w:sz w:val="18"/>
          <w:szCs w:val="18"/>
          <w:b w:val="1"/>
          <w:bCs w:val="1"/>
          <w:color w:val="auto"/>
        </w:rPr>
        <w:t>Annual Report Pursuant to Section 13 or 15(d) of The</w:t>
      </w:r>
    </w:p>
    <w:p>
      <w:pPr>
        <w:spacing w:after="0" w:line="27" w:lineRule="exact"/>
        <w:rPr>
          <w:rFonts w:ascii="Arial" w:cs="Arial" w:eastAsia="Arial" w:hAnsi="Arial"/>
          <w:sz w:val="16"/>
          <w:szCs w:val="16"/>
          <w:b w:val="1"/>
          <w:bCs w:val="1"/>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Exchange Act of 1934</w:t>
      </w:r>
    </w:p>
    <w:p>
      <w:pPr>
        <w:spacing w:after="0" w:line="234" w:lineRule="exact"/>
        <w:rPr>
          <w:rFonts w:ascii="Arial" w:cs="Arial" w:eastAsia="Arial" w:hAnsi="Arial"/>
          <w:sz w:val="16"/>
          <w:szCs w:val="16"/>
          <w:b w:val="1"/>
          <w:bCs w:val="1"/>
          <w:color w:val="auto"/>
        </w:rPr>
      </w:pPr>
    </w:p>
    <w:p>
      <w:pPr>
        <w:jc w:val="center"/>
        <w:ind w:right="-259"/>
        <w:spacing w:after="0"/>
        <w:rPr>
          <w:sz w:val="20"/>
          <w:szCs w:val="20"/>
          <w:color w:val="auto"/>
        </w:rPr>
      </w:pPr>
      <w:r>
        <w:rPr>
          <w:rFonts w:ascii="Arial" w:cs="Arial" w:eastAsia="Arial" w:hAnsi="Arial"/>
          <w:sz w:val="18"/>
          <w:szCs w:val="18"/>
          <w:b w:val="1"/>
          <w:bCs w:val="1"/>
          <w:color w:val="auto"/>
        </w:rPr>
        <w:t>For the fiscal year ended December 31, 2009</w:t>
      </w:r>
    </w:p>
    <w:p>
      <w:pPr>
        <w:spacing w:after="0" w:line="252" w:lineRule="exact"/>
        <w:rPr>
          <w:rFonts w:ascii="Arial" w:cs="Arial" w:eastAsia="Arial" w:hAnsi="Arial"/>
          <w:sz w:val="16"/>
          <w:szCs w:val="16"/>
          <w:b w:val="1"/>
          <w:bCs w:val="1"/>
          <w:color w:val="auto"/>
        </w:rPr>
      </w:pPr>
    </w:p>
    <w:p>
      <w:pPr>
        <w:jc w:val="center"/>
        <w:ind w:right="-259"/>
        <w:spacing w:after="0"/>
        <w:rPr>
          <w:sz w:val="20"/>
          <w:szCs w:val="20"/>
          <w:color w:val="auto"/>
        </w:rPr>
      </w:pPr>
      <w:r>
        <w:rPr>
          <w:rFonts w:ascii="Arial" w:cs="Arial" w:eastAsia="Arial" w:hAnsi="Arial"/>
          <w:sz w:val="18"/>
          <w:szCs w:val="18"/>
          <w:b w:val="1"/>
          <w:bCs w:val="1"/>
          <w:color w:val="auto"/>
        </w:rPr>
        <w:t>Commission file number 000-21129</w:t>
      </w:r>
    </w:p>
    <w:p>
      <w:pPr>
        <w:spacing w:after="0" w:line="252" w:lineRule="exact"/>
        <w:rPr>
          <w:rFonts w:ascii="Arial" w:cs="Arial" w:eastAsia="Arial" w:hAnsi="Arial"/>
          <w:sz w:val="16"/>
          <w:szCs w:val="16"/>
          <w:b w:val="1"/>
          <w:bCs w:val="1"/>
          <w:color w:val="auto"/>
        </w:rPr>
      </w:pPr>
    </w:p>
    <w:p>
      <w:pPr>
        <w:jc w:val="center"/>
        <w:ind w:right="-279"/>
        <w:spacing w:after="0"/>
        <w:rPr>
          <w:sz w:val="20"/>
          <w:szCs w:val="20"/>
          <w:color w:val="auto"/>
        </w:rPr>
      </w:pPr>
      <w:r>
        <w:rPr>
          <w:rFonts w:ascii="Arial" w:cs="Arial" w:eastAsia="Arial" w:hAnsi="Arial"/>
          <w:sz w:val="18"/>
          <w:szCs w:val="18"/>
          <w:b w:val="1"/>
          <w:bCs w:val="1"/>
          <w:u w:val="single" w:color="auto"/>
          <w:color w:val="auto"/>
        </w:rPr>
        <w:t>AWARE, INC.</w:t>
      </w:r>
    </w:p>
    <w:p>
      <w:pPr>
        <w:spacing w:after="0" w:line="40" w:lineRule="exact"/>
        <w:rPr>
          <w:rFonts w:ascii="Arial" w:cs="Arial" w:eastAsia="Arial" w:hAnsi="Arial"/>
          <w:sz w:val="16"/>
          <w:szCs w:val="16"/>
          <w:b w:val="1"/>
          <w:bCs w:val="1"/>
          <w:color w:val="auto"/>
        </w:rPr>
      </w:pPr>
    </w:p>
    <w:p>
      <w:pPr>
        <w:jc w:val="center"/>
        <w:ind w:right="-259"/>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rFonts w:ascii="Arial" w:cs="Arial" w:eastAsia="Arial" w:hAnsi="Arial"/>
          <w:sz w:val="16"/>
          <w:szCs w:val="16"/>
          <w:b w:val="1"/>
          <w:bCs w:val="1"/>
          <w:color w:val="auto"/>
        </w:rPr>
      </w:pPr>
    </w:p>
    <w:tbl>
      <w:tblPr>
        <w:tblLayout w:type="fixed"/>
        <w:tblInd w:w="1840" w:type="dxa"/>
        <w:tblCellMar>
          <w:top w:w="0" w:type="dxa"/>
          <w:left w:w="0" w:type="dxa"/>
          <w:bottom w:w="0" w:type="dxa"/>
          <w:right w:w="0" w:type="dxa"/>
        </w:tblCellMar>
      </w:tblPr>
      <w:tr>
        <w:trPr>
          <w:trHeight w:val="241"/>
        </w:trPr>
        <w:tc>
          <w:tcPr>
            <w:tcW w:w="500" w:type="dxa"/>
            <w:vAlign w:val="bottom"/>
          </w:tcPr>
          <w:p>
            <w:pPr>
              <w:spacing w:after="0"/>
              <w:rPr>
                <w:sz w:val="20"/>
                <w:szCs w:val="20"/>
                <w:color w:val="auto"/>
              </w:rPr>
            </w:pPr>
          </w:p>
        </w:tc>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85"/>
              </w:rPr>
              <w:t>Massachusetts</w:t>
            </w:r>
          </w:p>
        </w:tc>
        <w:tc>
          <w:tcPr>
            <w:tcW w:w="22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04-2911026</w:t>
            </w:r>
          </w:p>
        </w:tc>
        <w:tc>
          <w:tcPr>
            <w:tcW w:w="880" w:type="dxa"/>
            <w:vAlign w:val="bottom"/>
          </w:tcPr>
          <w:p>
            <w:pPr>
              <w:spacing w:after="0"/>
              <w:rPr>
                <w:sz w:val="20"/>
                <w:szCs w:val="20"/>
                <w:color w:val="auto"/>
              </w:rPr>
            </w:pPr>
          </w:p>
        </w:tc>
      </w:tr>
      <w:tr>
        <w:trPr>
          <w:trHeight w:val="202"/>
        </w:trPr>
        <w:tc>
          <w:tcPr>
            <w:tcW w:w="500" w:type="dxa"/>
            <w:vAlign w:val="bottom"/>
          </w:tcPr>
          <w:p>
            <w:pPr>
              <w:spacing w:after="0" w:line="201" w:lineRule="exact"/>
              <w:rPr>
                <w:sz w:val="20"/>
                <w:szCs w:val="20"/>
                <w:color w:val="auto"/>
              </w:rPr>
            </w:pPr>
            <w:r>
              <w:rPr>
                <w:rFonts w:ascii="Arial" w:cs="Arial" w:eastAsia="Arial" w:hAnsi="Arial"/>
                <w:sz w:val="18"/>
                <w:szCs w:val="18"/>
                <w:color w:val="auto"/>
                <w:w w:val="99"/>
              </w:rPr>
              <w:t>(State</w:t>
            </w:r>
          </w:p>
        </w:tc>
        <w:tc>
          <w:tcPr>
            <w:tcW w:w="3380" w:type="dxa"/>
            <w:vAlign w:val="bottom"/>
            <w:gridSpan w:val="2"/>
          </w:tcPr>
          <w:p>
            <w:pPr>
              <w:spacing w:after="0" w:line="201" w:lineRule="exact"/>
              <w:rPr>
                <w:sz w:val="20"/>
                <w:szCs w:val="20"/>
                <w:color w:val="auto"/>
              </w:rPr>
            </w:pPr>
            <w:r>
              <w:rPr>
                <w:rFonts w:ascii="Arial" w:cs="Arial" w:eastAsia="Arial" w:hAnsi="Arial"/>
                <w:sz w:val="18"/>
                <w:szCs w:val="18"/>
                <w:color w:val="auto"/>
              </w:rPr>
              <w:t>or Other Jurisdiction of</w:t>
            </w:r>
          </w:p>
        </w:tc>
        <w:tc>
          <w:tcPr>
            <w:tcW w:w="4240" w:type="dxa"/>
            <w:vAlign w:val="bottom"/>
            <w:gridSpan w:val="3"/>
          </w:tcPr>
          <w:p>
            <w:pPr>
              <w:jc w:val="center"/>
              <w:ind w:left="1530"/>
              <w:spacing w:after="0" w:line="201"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Incorporation or Organization)</w:t>
            </w:r>
          </w:p>
        </w:tc>
        <w:tc>
          <w:tcPr>
            <w:tcW w:w="2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198" w:lineRule="exact"/>
        <w:rPr>
          <w:rFonts w:ascii="Arial" w:cs="Arial" w:eastAsia="Arial" w:hAnsi="Arial"/>
          <w:sz w:val="16"/>
          <w:szCs w:val="16"/>
          <w:b w:val="1"/>
          <w:bCs w:val="1"/>
          <w:color w:val="auto"/>
        </w:rPr>
      </w:pPr>
    </w:p>
    <w:p>
      <w:pPr>
        <w:ind w:left="3640"/>
        <w:spacing w:after="0"/>
        <w:rPr>
          <w:sz w:val="20"/>
          <w:szCs w:val="20"/>
          <w:color w:val="auto"/>
        </w:rPr>
      </w:pPr>
      <w:r>
        <w:rPr>
          <w:rFonts w:ascii="Arial" w:cs="Arial" w:eastAsia="Arial" w:hAnsi="Arial"/>
          <w:sz w:val="18"/>
          <w:szCs w:val="18"/>
          <w:b w:val="1"/>
          <w:bCs w:val="1"/>
          <w:color w:val="auto"/>
        </w:rPr>
        <w:t>40 Middlesex Turnpike, Bedford, Massachusetts 01730</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2277745</wp:posOffset>
            </wp:positionH>
            <wp:positionV relativeFrom="paragraph">
              <wp:posOffset>17145</wp:posOffset>
            </wp:positionV>
            <wp:extent cx="26930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93035" cy="17145"/>
                    </a:xfrm>
                    <a:prstGeom prst="rect">
                      <a:avLst/>
                    </a:prstGeom>
                    <a:noFill/>
                  </pic:spPr>
                </pic:pic>
              </a:graphicData>
            </a:graphic>
          </wp:anchor>
        </w:drawing>
      </w:r>
    </w:p>
    <w:p>
      <w:pPr>
        <w:spacing w:after="0" w:line="20" w:lineRule="exact"/>
        <w:rPr>
          <w:rFonts w:ascii="Arial" w:cs="Arial" w:eastAsia="Arial" w:hAnsi="Arial"/>
          <w:sz w:val="16"/>
          <w:szCs w:val="16"/>
          <w:b w:val="1"/>
          <w:bCs w:val="1"/>
          <w:color w:val="auto"/>
        </w:rPr>
      </w:pPr>
    </w:p>
    <w:p>
      <w:pPr>
        <w:ind w:left="4260"/>
        <w:spacing w:after="0"/>
        <w:rPr>
          <w:sz w:val="20"/>
          <w:szCs w:val="20"/>
          <w:color w:val="auto"/>
        </w:rPr>
      </w:pPr>
      <w:r>
        <w:rPr>
          <w:rFonts w:ascii="Arial" w:cs="Arial" w:eastAsia="Arial" w:hAnsi="Arial"/>
          <w:sz w:val="18"/>
          <w:szCs w:val="18"/>
          <w:color w:val="auto"/>
        </w:rPr>
        <w:t>(Address of Principal Executive Offices)</w:t>
      </w:r>
    </w:p>
    <w:p>
      <w:pPr>
        <w:spacing w:after="0" w:line="23" w:lineRule="exact"/>
        <w:rPr>
          <w:rFonts w:ascii="Arial" w:cs="Arial" w:eastAsia="Arial" w:hAnsi="Arial"/>
          <w:sz w:val="16"/>
          <w:szCs w:val="16"/>
          <w:b w:val="1"/>
          <w:bCs w:val="1"/>
          <w:color w:val="auto"/>
        </w:rPr>
      </w:pPr>
    </w:p>
    <w:p>
      <w:pPr>
        <w:ind w:left="5180"/>
        <w:spacing w:after="0"/>
        <w:rPr>
          <w:sz w:val="20"/>
          <w:szCs w:val="20"/>
          <w:color w:val="auto"/>
        </w:rPr>
      </w:pPr>
      <w:r>
        <w:rPr>
          <w:rFonts w:ascii="Arial" w:cs="Arial" w:eastAsia="Arial" w:hAnsi="Arial"/>
          <w:sz w:val="18"/>
          <w:szCs w:val="18"/>
          <w:color w:val="auto"/>
        </w:rPr>
        <w:t>(Zip Code)</w:t>
      </w:r>
    </w:p>
    <w:p>
      <w:pPr>
        <w:spacing w:after="0" w:line="234" w:lineRule="exact"/>
        <w:rPr>
          <w:rFonts w:ascii="Arial" w:cs="Arial" w:eastAsia="Arial" w:hAnsi="Arial"/>
          <w:sz w:val="16"/>
          <w:szCs w:val="16"/>
          <w:b w:val="1"/>
          <w:bCs w:val="1"/>
          <w:color w:val="auto"/>
        </w:rPr>
      </w:pPr>
    </w:p>
    <w:p>
      <w:pPr>
        <w:jc w:val="center"/>
        <w:ind w:right="-259"/>
        <w:spacing w:after="0"/>
        <w:rPr>
          <w:sz w:val="20"/>
          <w:szCs w:val="20"/>
          <w:color w:val="auto"/>
        </w:rPr>
      </w:pPr>
      <w:r>
        <w:rPr>
          <w:rFonts w:ascii="Arial" w:cs="Arial" w:eastAsia="Arial" w:hAnsi="Arial"/>
          <w:sz w:val="18"/>
          <w:szCs w:val="18"/>
          <w:b w:val="1"/>
          <w:bCs w:val="1"/>
          <w:u w:val="single" w:color="auto"/>
          <w:color w:val="auto"/>
        </w:rPr>
        <w:t>(781) 276-4000</w:t>
      </w:r>
    </w:p>
    <w:p>
      <w:pPr>
        <w:spacing w:after="0" w:line="40" w:lineRule="exact"/>
        <w:rPr>
          <w:rFonts w:ascii="Arial" w:cs="Arial" w:eastAsia="Arial" w:hAnsi="Arial"/>
          <w:sz w:val="16"/>
          <w:szCs w:val="16"/>
          <w:b w:val="1"/>
          <w:bCs w:val="1"/>
          <w:color w:val="auto"/>
        </w:rPr>
      </w:pPr>
    </w:p>
    <w:p>
      <w:pPr>
        <w:jc w:val="center"/>
        <w:ind w:right="-339"/>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rFonts w:ascii="Arial" w:cs="Arial" w:eastAsia="Arial" w:hAnsi="Arial"/>
          <w:sz w:val="16"/>
          <w:szCs w:val="16"/>
          <w:b w:val="1"/>
          <w:bCs w:val="1"/>
          <w:color w:val="auto"/>
        </w:rPr>
      </w:pPr>
    </w:p>
    <w:p>
      <w:pPr>
        <w:jc w:val="center"/>
        <w:ind w:right="-25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rFonts w:ascii="Arial" w:cs="Arial" w:eastAsia="Arial" w:hAnsi="Arial"/>
          <w:sz w:val="16"/>
          <w:szCs w:val="16"/>
          <w:b w:val="1"/>
          <w:bCs w:val="1"/>
          <w:color w:val="auto"/>
        </w:rPr>
      </w:pPr>
    </w:p>
    <w:p>
      <w:pPr>
        <w:ind w:left="1820"/>
        <w:spacing w:after="0"/>
        <w:rPr>
          <w:sz w:val="20"/>
          <w:szCs w:val="20"/>
          <w:color w:val="auto"/>
        </w:rPr>
      </w:pPr>
      <w:r>
        <w:rPr>
          <w:rFonts w:ascii="Arial" w:cs="Arial" w:eastAsia="Arial" w:hAnsi="Arial"/>
          <w:sz w:val="18"/>
          <w:szCs w:val="18"/>
          <w:b w:val="1"/>
          <w:bCs w:val="1"/>
          <w:color w:val="auto"/>
        </w:rPr>
        <w:t>Title of Each</w:t>
      </w:r>
    </w:p>
    <w:p>
      <w:pPr>
        <w:spacing w:after="0" w:line="27" w:lineRule="exact"/>
        <w:rPr>
          <w:rFonts w:ascii="Arial" w:cs="Arial" w:eastAsia="Arial" w:hAnsi="Arial"/>
          <w:sz w:val="16"/>
          <w:szCs w:val="16"/>
          <w:b w:val="1"/>
          <w:bCs w:val="1"/>
          <w:color w:val="auto"/>
        </w:rPr>
      </w:pPr>
    </w:p>
    <w:p>
      <w:pPr>
        <w:ind w:left="1820"/>
        <w:spacing w:after="0"/>
        <w:rPr>
          <w:sz w:val="20"/>
          <w:szCs w:val="20"/>
          <w:color w:val="auto"/>
        </w:rPr>
      </w:pPr>
      <w:r>
        <w:rPr>
          <w:rFonts w:ascii="Arial" w:cs="Arial" w:eastAsia="Arial" w:hAnsi="Arial"/>
          <w:sz w:val="18"/>
          <w:szCs w:val="18"/>
          <w:b w:val="1"/>
          <w:bCs w:val="1"/>
          <w:color w:val="auto"/>
        </w:rPr>
        <w:t>Class</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1154430</wp:posOffset>
            </wp:positionH>
            <wp:positionV relativeFrom="paragraph">
              <wp:posOffset>5715</wp:posOffset>
            </wp:positionV>
            <wp:extent cx="831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31850" cy="1714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5715</wp:posOffset>
            </wp:positionV>
            <wp:extent cx="22466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46630" cy="17145"/>
                    </a:xfrm>
                    <a:prstGeom prst="rect">
                      <a:avLst/>
                    </a:prstGeom>
                    <a:noFill/>
                  </pic:spPr>
                </pic:pic>
              </a:graphicData>
            </a:graphic>
          </wp:anchor>
        </w:drawing>
      </w:r>
    </w:p>
    <w:p>
      <w:pPr>
        <w:ind w:left="1820"/>
        <w:spacing w:after="0"/>
        <w:tabs>
          <w:tab w:leader="none" w:pos="6560" w:val="left"/>
        </w:tabs>
        <w:rPr>
          <w:sz w:val="20"/>
          <w:szCs w:val="20"/>
          <w:color w:val="auto"/>
        </w:rPr>
      </w:pPr>
      <w:r>
        <w:rPr>
          <w:rFonts w:ascii="Arial" w:cs="Arial" w:eastAsia="Arial" w:hAnsi="Arial"/>
          <w:sz w:val="18"/>
          <w:szCs w:val="18"/>
          <w:b w:val="1"/>
          <w:bCs w:val="1"/>
          <w:color w:val="auto"/>
        </w:rPr>
        <w:t>Common Stock, par value $.01 per share</w:t>
      </w:r>
      <w:r>
        <w:rPr>
          <w:sz w:val="20"/>
          <w:szCs w:val="20"/>
          <w:color w:val="auto"/>
        </w:rPr>
        <w:tab/>
      </w:r>
      <w:r>
        <w:rPr>
          <w:rFonts w:ascii="Arial" w:cs="Arial" w:eastAsia="Arial" w:hAnsi="Arial"/>
          <w:sz w:val="16"/>
          <w:szCs w:val="16"/>
          <w:b w:val="1"/>
          <w:bCs w:val="1"/>
          <w:color w:val="auto"/>
        </w:rPr>
        <w:t>The Nasdaq Global Market</w:t>
      </w:r>
    </w:p>
    <w:p>
      <w:pPr>
        <w:spacing w:after="0" w:line="27" w:lineRule="exact"/>
        <w:rPr>
          <w:rFonts w:ascii="Arial" w:cs="Arial" w:eastAsia="Arial" w:hAnsi="Arial"/>
          <w:sz w:val="16"/>
          <w:szCs w:val="16"/>
          <w:b w:val="1"/>
          <w:bCs w:val="1"/>
          <w:color w:val="auto"/>
        </w:rPr>
      </w:pPr>
    </w:p>
    <w:p>
      <w:pPr>
        <w:jc w:val="center"/>
        <w:ind w:right="-299"/>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238" w:lineRule="exact"/>
        <w:rPr>
          <w:rFonts w:ascii="Arial" w:cs="Arial" w:eastAsia="Arial" w:hAnsi="Arial"/>
          <w:sz w:val="16"/>
          <w:szCs w:val="16"/>
          <w:b w:val="1"/>
          <w:bCs w:val="1"/>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o No x</w:t>
      </w:r>
    </w:p>
    <w:p>
      <w:pPr>
        <w:spacing w:after="0" w:line="252" w:lineRule="exact"/>
        <w:rPr>
          <w:rFonts w:ascii="Arial" w:cs="Arial" w:eastAsia="Arial" w:hAnsi="Arial"/>
          <w:sz w:val="16"/>
          <w:szCs w:val="16"/>
          <w:b w:val="1"/>
          <w:bCs w:val="1"/>
          <w:color w:val="auto"/>
        </w:rPr>
      </w:pPr>
    </w:p>
    <w:p>
      <w:pPr>
        <w:ind w:right="1800"/>
        <w:spacing w:after="0" w:line="277" w:lineRule="auto"/>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Exchange Act. Yes o No x</w:t>
      </w:r>
    </w:p>
    <w:p>
      <w:pPr>
        <w:spacing w:after="0" w:line="197" w:lineRule="exact"/>
        <w:rPr>
          <w:rFonts w:ascii="Arial" w:cs="Arial" w:eastAsia="Arial" w:hAnsi="Arial"/>
          <w:sz w:val="16"/>
          <w:szCs w:val="16"/>
          <w:b w:val="1"/>
          <w:bCs w:val="1"/>
          <w:color w:val="auto"/>
        </w:rPr>
      </w:pPr>
    </w:p>
    <w:p>
      <w:pPr>
        <w:ind w:right="24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08" w:lineRule="exact"/>
        <w:rPr>
          <w:rFonts w:ascii="Arial" w:cs="Arial" w:eastAsia="Arial" w:hAnsi="Arial"/>
          <w:sz w:val="16"/>
          <w:szCs w:val="16"/>
          <w:b w:val="1"/>
          <w:bCs w:val="1"/>
          <w:color w:val="auto"/>
        </w:rPr>
      </w:pPr>
    </w:p>
    <w:p>
      <w:pPr>
        <w:spacing w:after="0" w:line="29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w:t>
      </w:r>
    </w:p>
    <w:p>
      <w:pPr>
        <w:spacing w:after="0"/>
        <w:tabs>
          <w:tab w:leader="none" w:pos="4780" w:val="left"/>
        </w:tabs>
        <w:rPr>
          <w:sz w:val="20"/>
          <w:szCs w:val="20"/>
          <w:color w:val="auto"/>
        </w:rPr>
      </w:pPr>
      <w:r>
        <w:rPr>
          <w:rFonts w:ascii="Arial" w:cs="Arial" w:eastAsia="Arial" w:hAnsi="Arial"/>
          <w:sz w:val="18"/>
          <w:szCs w:val="18"/>
          <w:color w:val="auto"/>
        </w:rPr>
        <w:t>that the registrant was required to submit and post such files).</w:t>
      </w:r>
      <w:r>
        <w:rPr>
          <w:sz w:val="20"/>
          <w:szCs w:val="20"/>
          <w:color w:val="auto"/>
        </w:rPr>
        <w:tab/>
      </w:r>
      <w:r>
        <w:rPr>
          <w:rFonts w:ascii="Arial" w:cs="Arial" w:eastAsia="Arial" w:hAnsi="Arial"/>
          <w:sz w:val="16"/>
          <w:szCs w:val="16"/>
          <w:color w:val="auto"/>
        </w:rPr>
        <w:t>YES o NO o</w:t>
      </w:r>
    </w:p>
    <w:p>
      <w:pPr>
        <w:spacing w:after="0" w:line="238" w:lineRule="exact"/>
        <w:rPr>
          <w:rFonts w:ascii="Arial" w:cs="Arial" w:eastAsia="Arial" w:hAnsi="Arial"/>
          <w:sz w:val="16"/>
          <w:szCs w:val="16"/>
          <w:b w:val="1"/>
          <w:bCs w:val="1"/>
          <w:color w:val="auto"/>
        </w:rPr>
      </w:pPr>
    </w:p>
    <w:p>
      <w:pPr>
        <w:jc w:val="both"/>
        <w:ind w:right="12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208" w:lineRule="exact"/>
        <w:rPr>
          <w:rFonts w:ascii="Arial" w:cs="Arial" w:eastAsia="Arial" w:hAnsi="Arial"/>
          <w:sz w:val="16"/>
          <w:szCs w:val="16"/>
          <w:b w:val="1"/>
          <w:bCs w:val="1"/>
          <w:color w:val="auto"/>
        </w:rPr>
      </w:pPr>
    </w:p>
    <w:p>
      <w:pPr>
        <w:ind w:right="16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51" w:lineRule="exact"/>
        <w:rPr>
          <w:rFonts w:ascii="Arial" w:cs="Arial" w:eastAsia="Arial" w:hAnsi="Arial"/>
          <w:sz w:val="16"/>
          <w:szCs w:val="16"/>
          <w:b w:val="1"/>
          <w:bCs w:val="1"/>
          <w:color w:val="auto"/>
        </w:rPr>
      </w:pPr>
    </w:p>
    <w:p>
      <w:pPr>
        <w:spacing w:after="0"/>
        <w:rPr>
          <w:sz w:val="20"/>
          <w:szCs w:val="20"/>
          <w:color w:val="auto"/>
        </w:rPr>
      </w:pPr>
      <w:r>
        <w:rPr>
          <w:rFonts w:ascii="Arial" w:cs="Arial" w:eastAsia="Arial" w:hAnsi="Arial"/>
          <w:sz w:val="18"/>
          <w:szCs w:val="18"/>
          <w:color w:val="auto"/>
        </w:rPr>
        <w:t>Large Accelerated Filer o  Accelerated Filer x  Non-Accelerated Filer o  Smaller Reporting Company o</w:t>
      </w:r>
    </w:p>
    <w:p>
      <w:pPr>
        <w:spacing w:after="0" w:line="252" w:lineRule="exact"/>
        <w:rPr>
          <w:rFonts w:ascii="Arial" w:cs="Arial" w:eastAsia="Arial" w:hAnsi="Arial"/>
          <w:sz w:val="16"/>
          <w:szCs w:val="16"/>
          <w:b w:val="1"/>
          <w:bCs w:val="1"/>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52" w:lineRule="exact"/>
        <w:rPr>
          <w:rFonts w:ascii="Arial" w:cs="Arial" w:eastAsia="Arial" w:hAnsi="Arial"/>
          <w:sz w:val="16"/>
          <w:szCs w:val="16"/>
          <w:b w:val="1"/>
          <w:bCs w:val="1"/>
          <w:color w:val="auto"/>
        </w:rPr>
      </w:pPr>
    </w:p>
    <w:p>
      <w:pPr>
        <w:ind w:right="80"/>
        <w:spacing w:after="0" w:line="277" w:lineRule="auto"/>
        <w:rPr>
          <w:sz w:val="20"/>
          <w:szCs w:val="20"/>
          <w:color w:val="auto"/>
        </w:rPr>
      </w:pPr>
      <w:r>
        <w:rPr>
          <w:rFonts w:ascii="Arial" w:cs="Arial" w:eastAsia="Arial" w:hAnsi="Arial"/>
          <w:sz w:val="18"/>
          <w:szCs w:val="18"/>
          <w:color w:val="auto"/>
        </w:rPr>
        <w:t>As of June 30, 2009 the aggregate market value of the registrant’s common stock held by non-affiliates of the registrant, based on the closing sale price as reported on the Nasdaq Global Market, was approximately $48,629,658.</w:t>
      </w:r>
    </w:p>
    <w:p>
      <w:pPr>
        <w:spacing w:after="0" w:line="197" w:lineRule="exact"/>
        <w:rPr>
          <w:rFonts w:ascii="Arial" w:cs="Arial" w:eastAsia="Arial" w:hAnsi="Arial"/>
          <w:sz w:val="16"/>
          <w:szCs w:val="16"/>
          <w:b w:val="1"/>
          <w:bCs w:val="1"/>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February 5, 2010 was 19,926,970.</w:t>
      </w:r>
    </w:p>
    <w:p>
      <w:pPr>
        <w:spacing w:after="0" w:line="248" w:lineRule="exact"/>
        <w:rPr>
          <w:rFonts w:ascii="Arial" w:cs="Arial" w:eastAsia="Arial" w:hAnsi="Arial"/>
          <w:sz w:val="16"/>
          <w:szCs w:val="16"/>
          <w:b w:val="1"/>
          <w:bCs w:val="1"/>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6" w:lineRule="exact"/>
        <w:rPr>
          <w:rFonts w:ascii="Arial" w:cs="Arial" w:eastAsia="Arial" w:hAnsi="Arial"/>
          <w:sz w:val="16"/>
          <w:szCs w:val="16"/>
          <w:b w:val="1"/>
          <w:bCs w:val="1"/>
          <w:color w:val="auto"/>
        </w:rPr>
      </w:pPr>
    </w:p>
    <w:p>
      <w:pPr>
        <w:ind w:right="140"/>
        <w:spacing w:after="0" w:line="277" w:lineRule="auto"/>
        <w:rPr>
          <w:sz w:val="20"/>
          <w:szCs w:val="20"/>
          <w:color w:val="auto"/>
        </w:rPr>
      </w:pPr>
      <w:r>
        <w:rPr>
          <w:rFonts w:ascii="Arial" w:cs="Arial" w:eastAsia="Arial" w:hAnsi="Arial"/>
          <w:sz w:val="18"/>
          <w:szCs w:val="18"/>
          <w:color w:val="auto"/>
        </w:rPr>
        <w:t>Portions of the registrant’s definitive Proxy Statement to be delivered to shareholders in connection with the registrant’s Annual Meeting of Shareholders to be held on May 26, 2010 are incorporated by reference into Part III of this Annual Report on Form 10-K.</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180"/>
          </w:cols>
          <w:pgMar w:left="240" w:top="310" w:right="479" w:bottom="788"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9180" w:type="dxa"/>
            <w:vAlign w:val="bottom"/>
          </w:tcPr>
          <w:p>
            <w:pPr>
              <w:jc w:val="center"/>
              <w:ind w:left="150"/>
              <w:spacing w:after="0"/>
              <w:rPr>
                <w:sz w:val="20"/>
                <w:szCs w:val="20"/>
                <w:color w:val="auto"/>
              </w:rPr>
            </w:pPr>
            <w:r>
              <w:rPr>
                <w:rFonts w:ascii="Arial" w:cs="Arial" w:eastAsia="Arial" w:hAnsi="Arial"/>
                <w:sz w:val="18"/>
                <w:szCs w:val="18"/>
                <w:b w:val="1"/>
                <w:bCs w:val="1"/>
                <w:color w:val="auto"/>
                <w:w w:val="96"/>
              </w:rPr>
              <w:t>AWARE, INC.</w:t>
            </w:r>
          </w:p>
        </w:tc>
        <w:tc>
          <w:tcPr>
            <w:tcW w:w="12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9180" w:type="dxa"/>
            <w:vAlign w:val="bottom"/>
          </w:tcPr>
          <w:p>
            <w:pPr>
              <w:jc w:val="center"/>
              <w:ind w:left="150"/>
              <w:spacing w:after="0"/>
              <w:rPr>
                <w:sz w:val="20"/>
                <w:szCs w:val="20"/>
                <w:color w:val="auto"/>
              </w:rPr>
            </w:pPr>
            <w:r>
              <w:rPr>
                <w:rFonts w:ascii="Arial" w:cs="Arial" w:eastAsia="Arial" w:hAnsi="Arial"/>
                <w:sz w:val="18"/>
                <w:szCs w:val="18"/>
                <w:b w:val="1"/>
                <w:bCs w:val="1"/>
                <w:color w:val="auto"/>
              </w:rPr>
              <w:t>FORM 10-K</w:t>
            </w:r>
          </w:p>
        </w:tc>
        <w:tc>
          <w:tcPr>
            <w:tcW w:w="122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9180" w:type="dxa"/>
            <w:vAlign w:val="bottom"/>
          </w:tcPr>
          <w:p>
            <w:pPr>
              <w:jc w:val="center"/>
              <w:ind w:left="150"/>
              <w:spacing w:after="0"/>
              <w:rPr>
                <w:sz w:val="20"/>
                <w:szCs w:val="20"/>
                <w:color w:val="auto"/>
              </w:rPr>
            </w:pPr>
            <w:r>
              <w:rPr>
                <w:rFonts w:ascii="Arial" w:cs="Arial" w:eastAsia="Arial" w:hAnsi="Arial"/>
                <w:sz w:val="18"/>
                <w:szCs w:val="18"/>
                <w:b w:val="1"/>
                <w:bCs w:val="1"/>
                <w:color w:val="auto"/>
                <w:w w:val="98"/>
              </w:rPr>
              <w:t>FOR THE YEAR ENDED DECEMBER 31, 2009</w:t>
            </w:r>
          </w:p>
        </w:tc>
        <w:tc>
          <w:tcPr>
            <w:tcW w:w="1220" w:type="dxa"/>
            <w:vAlign w:val="bottom"/>
          </w:tcPr>
          <w:p>
            <w:pPr>
              <w:spacing w:after="0"/>
              <w:rPr>
                <w:sz w:val="20"/>
                <w:szCs w:val="20"/>
                <w:color w:val="auto"/>
              </w:rPr>
            </w:pPr>
          </w:p>
        </w:tc>
      </w:tr>
      <w:tr>
        <w:trPr>
          <w:trHeight w:val="459"/>
        </w:trPr>
        <w:tc>
          <w:tcPr>
            <w:tcW w:w="1020" w:type="dxa"/>
            <w:vAlign w:val="bottom"/>
          </w:tcPr>
          <w:p>
            <w:pPr>
              <w:spacing w:after="0"/>
              <w:rPr>
                <w:sz w:val="24"/>
                <w:szCs w:val="24"/>
                <w:color w:val="auto"/>
              </w:rPr>
            </w:pPr>
          </w:p>
        </w:tc>
        <w:tc>
          <w:tcPr>
            <w:tcW w:w="9180" w:type="dxa"/>
            <w:vAlign w:val="bottom"/>
          </w:tcPr>
          <w:p>
            <w:pPr>
              <w:jc w:val="center"/>
              <w:ind w:left="150"/>
              <w:spacing w:after="0"/>
              <w:rPr>
                <w:sz w:val="20"/>
                <w:szCs w:val="20"/>
                <w:color w:val="auto"/>
              </w:rPr>
            </w:pPr>
            <w:r>
              <w:rPr>
                <w:rFonts w:ascii="Arial" w:cs="Arial" w:eastAsia="Arial" w:hAnsi="Arial"/>
                <w:sz w:val="18"/>
                <w:szCs w:val="18"/>
                <w:b w:val="1"/>
                <w:bCs w:val="1"/>
                <w:color w:val="auto"/>
                <w:w w:val="99"/>
              </w:rPr>
              <w:t>TABLE OF CONTENTS</w:t>
            </w:r>
          </w:p>
        </w:tc>
        <w:tc>
          <w:tcPr>
            <w:tcW w:w="1220" w:type="dxa"/>
            <w:vAlign w:val="bottom"/>
          </w:tcPr>
          <w:p>
            <w:pPr>
              <w:spacing w:after="0"/>
              <w:rPr>
                <w:sz w:val="24"/>
                <w:szCs w:val="24"/>
                <w:color w:val="auto"/>
              </w:rPr>
            </w:pPr>
          </w:p>
        </w:tc>
      </w:tr>
      <w:tr>
        <w:trPr>
          <w:trHeight w:val="459"/>
        </w:trPr>
        <w:tc>
          <w:tcPr>
            <w:tcW w:w="1020" w:type="dxa"/>
            <w:vAlign w:val="bottom"/>
          </w:tcPr>
          <w:p>
            <w:pPr>
              <w:spacing w:after="0"/>
              <w:rPr>
                <w:sz w:val="24"/>
                <w:szCs w:val="24"/>
                <w:color w:val="auto"/>
              </w:rPr>
            </w:pPr>
          </w:p>
        </w:tc>
        <w:tc>
          <w:tcPr>
            <w:tcW w:w="9180" w:type="dxa"/>
            <w:vAlign w:val="bottom"/>
          </w:tcPr>
          <w:p>
            <w:pPr>
              <w:jc w:val="center"/>
              <w:ind w:left="150"/>
              <w:spacing w:after="0"/>
              <w:rPr>
                <w:sz w:val="20"/>
                <w:szCs w:val="20"/>
                <w:color w:val="auto"/>
              </w:rPr>
            </w:pPr>
            <w:r>
              <w:rPr>
                <w:rFonts w:ascii="Arial" w:cs="Arial" w:eastAsia="Arial" w:hAnsi="Arial"/>
                <w:sz w:val="18"/>
                <w:szCs w:val="18"/>
                <w:b w:val="1"/>
                <w:bCs w:val="1"/>
                <w:color w:val="auto"/>
                <w:w w:val="98"/>
              </w:rPr>
              <w:t>PART I</w:t>
            </w:r>
          </w:p>
        </w:tc>
        <w:tc>
          <w:tcPr>
            <w:tcW w:w="1220" w:type="dxa"/>
            <w:vAlign w:val="bottom"/>
          </w:tcPr>
          <w:p>
            <w:pPr>
              <w:spacing w:after="0"/>
              <w:rPr>
                <w:sz w:val="24"/>
                <w:szCs w:val="24"/>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180" w:type="dxa"/>
            <w:vAlign w:val="bottom"/>
          </w:tcPr>
          <w:p>
            <w:pPr>
              <w:ind w:left="260"/>
              <w:spacing w:after="0"/>
              <w:rPr>
                <w:sz w:val="20"/>
                <w:szCs w:val="20"/>
                <w:color w:val="auto"/>
              </w:rPr>
            </w:pPr>
            <w:r>
              <w:rPr>
                <w:rFonts w:ascii="Arial" w:cs="Arial" w:eastAsia="Arial" w:hAnsi="Arial"/>
                <w:sz w:val="18"/>
                <w:szCs w:val="18"/>
                <w:color w:val="auto"/>
              </w:rPr>
              <w:t>Business</w:t>
            </w:r>
          </w:p>
        </w:tc>
        <w:tc>
          <w:tcPr>
            <w:tcW w:w="1220" w:type="dxa"/>
            <w:vAlign w:val="bottom"/>
          </w:tcPr>
          <w:p>
            <w:pPr>
              <w:jc w:val="center"/>
              <w:ind w:left="590"/>
              <w:spacing w:after="0"/>
              <w:rPr>
                <w:sz w:val="20"/>
                <w:szCs w:val="20"/>
                <w:color w:val="auto"/>
              </w:rPr>
            </w:pPr>
            <w:r>
              <w:rPr>
                <w:rFonts w:ascii="Arial" w:cs="Arial" w:eastAsia="Arial" w:hAnsi="Arial"/>
                <w:sz w:val="18"/>
                <w:szCs w:val="18"/>
                <w:color w:val="auto"/>
                <w:w w:val="99"/>
              </w:rPr>
              <w:t>3</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9180" w:type="dxa"/>
            <w:vAlign w:val="bottom"/>
          </w:tcPr>
          <w:p>
            <w:pPr>
              <w:ind w:left="260"/>
              <w:spacing w:after="0"/>
              <w:rPr>
                <w:sz w:val="20"/>
                <w:szCs w:val="20"/>
                <w:color w:val="auto"/>
              </w:rPr>
            </w:pPr>
            <w:r>
              <w:rPr>
                <w:rFonts w:ascii="Arial" w:cs="Arial" w:eastAsia="Arial" w:hAnsi="Arial"/>
                <w:sz w:val="18"/>
                <w:szCs w:val="18"/>
                <w:color w:val="auto"/>
              </w:rPr>
              <w:t>Risk Factors</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10</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1B.</w:t>
            </w:r>
          </w:p>
        </w:tc>
        <w:tc>
          <w:tcPr>
            <w:tcW w:w="9180" w:type="dxa"/>
            <w:vAlign w:val="bottom"/>
          </w:tcPr>
          <w:p>
            <w:pPr>
              <w:ind w:left="260"/>
              <w:spacing w:after="0"/>
              <w:rPr>
                <w:sz w:val="20"/>
                <w:szCs w:val="20"/>
                <w:color w:val="auto"/>
              </w:rPr>
            </w:pPr>
            <w:r>
              <w:rPr>
                <w:rFonts w:ascii="Arial" w:cs="Arial" w:eastAsia="Arial" w:hAnsi="Arial"/>
                <w:sz w:val="18"/>
                <w:szCs w:val="18"/>
                <w:color w:val="auto"/>
              </w:rPr>
              <w:t>Unresolved Staff Comments</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17</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180" w:type="dxa"/>
            <w:vAlign w:val="bottom"/>
          </w:tcPr>
          <w:p>
            <w:pPr>
              <w:ind w:left="260"/>
              <w:spacing w:after="0"/>
              <w:rPr>
                <w:sz w:val="20"/>
                <w:szCs w:val="20"/>
                <w:color w:val="auto"/>
              </w:rPr>
            </w:pPr>
            <w:r>
              <w:rPr>
                <w:rFonts w:ascii="Arial" w:cs="Arial" w:eastAsia="Arial" w:hAnsi="Arial"/>
                <w:sz w:val="18"/>
                <w:szCs w:val="18"/>
                <w:color w:val="auto"/>
              </w:rPr>
              <w:t>Properties</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18</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9180" w:type="dxa"/>
            <w:vAlign w:val="bottom"/>
          </w:tcPr>
          <w:p>
            <w:pPr>
              <w:ind w:left="260"/>
              <w:spacing w:after="0"/>
              <w:rPr>
                <w:sz w:val="20"/>
                <w:szCs w:val="20"/>
                <w:color w:val="auto"/>
              </w:rPr>
            </w:pPr>
            <w:r>
              <w:rPr>
                <w:rFonts w:ascii="Arial" w:cs="Arial" w:eastAsia="Arial" w:hAnsi="Arial"/>
                <w:sz w:val="18"/>
                <w:szCs w:val="18"/>
                <w:color w:val="auto"/>
              </w:rPr>
              <w:t>Legal Proceedings</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18</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9180" w:type="dxa"/>
            <w:vAlign w:val="bottom"/>
          </w:tcPr>
          <w:p>
            <w:pPr>
              <w:ind w:left="260"/>
              <w:spacing w:after="0"/>
              <w:rPr>
                <w:sz w:val="20"/>
                <w:szCs w:val="20"/>
                <w:color w:val="auto"/>
              </w:rPr>
            </w:pPr>
            <w:r>
              <w:rPr>
                <w:rFonts w:ascii="Arial" w:cs="Arial" w:eastAsia="Arial" w:hAnsi="Arial"/>
                <w:sz w:val="18"/>
                <w:szCs w:val="18"/>
                <w:color w:val="auto"/>
              </w:rPr>
              <w:t>Submission of Matters to a Vote of Security Holders</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18</w:t>
            </w:r>
          </w:p>
        </w:tc>
      </w:tr>
      <w:tr>
        <w:trPr>
          <w:trHeight w:val="432"/>
        </w:trPr>
        <w:tc>
          <w:tcPr>
            <w:tcW w:w="1020" w:type="dxa"/>
            <w:vAlign w:val="bottom"/>
          </w:tcPr>
          <w:p>
            <w:pPr>
              <w:spacing w:after="0"/>
              <w:rPr>
                <w:sz w:val="24"/>
                <w:szCs w:val="24"/>
                <w:color w:val="auto"/>
              </w:rPr>
            </w:pPr>
          </w:p>
        </w:tc>
        <w:tc>
          <w:tcPr>
            <w:tcW w:w="9180" w:type="dxa"/>
            <w:vAlign w:val="bottom"/>
          </w:tcPr>
          <w:p>
            <w:pPr>
              <w:jc w:val="center"/>
              <w:ind w:left="150"/>
              <w:spacing w:after="0"/>
              <w:rPr>
                <w:sz w:val="20"/>
                <w:szCs w:val="20"/>
                <w:color w:val="auto"/>
              </w:rPr>
            </w:pPr>
            <w:r>
              <w:rPr>
                <w:rFonts w:ascii="Arial" w:cs="Arial" w:eastAsia="Arial" w:hAnsi="Arial"/>
                <w:sz w:val="18"/>
                <w:szCs w:val="18"/>
                <w:b w:val="1"/>
                <w:bCs w:val="1"/>
                <w:color w:val="auto"/>
              </w:rPr>
              <w:t>PART II</w:t>
            </w:r>
          </w:p>
        </w:tc>
        <w:tc>
          <w:tcPr>
            <w:tcW w:w="1220" w:type="dxa"/>
            <w:vAlign w:val="bottom"/>
          </w:tcPr>
          <w:p>
            <w:pPr>
              <w:spacing w:after="0"/>
              <w:rPr>
                <w:sz w:val="24"/>
                <w:szCs w:val="24"/>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Item 5.</w:t>
            </w:r>
          </w:p>
        </w:tc>
        <w:tc>
          <w:tcPr>
            <w:tcW w:w="9180" w:type="dxa"/>
            <w:vAlign w:val="bottom"/>
          </w:tcPr>
          <w:p>
            <w:pPr>
              <w:ind w:left="26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19</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9180" w:type="dxa"/>
            <w:vAlign w:val="bottom"/>
          </w:tcPr>
          <w:p>
            <w:pPr>
              <w:ind w:left="260"/>
              <w:spacing w:after="0"/>
              <w:rPr>
                <w:sz w:val="20"/>
                <w:szCs w:val="20"/>
                <w:color w:val="auto"/>
              </w:rPr>
            </w:pPr>
            <w:r>
              <w:rPr>
                <w:rFonts w:ascii="Arial" w:cs="Arial" w:eastAsia="Arial" w:hAnsi="Arial"/>
                <w:sz w:val="18"/>
                <w:szCs w:val="18"/>
                <w:color w:val="auto"/>
              </w:rPr>
              <w:t>Selected Financial Data</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22</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7.</w:t>
            </w:r>
          </w:p>
        </w:tc>
        <w:tc>
          <w:tcPr>
            <w:tcW w:w="9180" w:type="dxa"/>
            <w:vAlign w:val="bottom"/>
          </w:tcPr>
          <w:p>
            <w:pPr>
              <w:ind w:left="2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23</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7A.</w:t>
            </w:r>
          </w:p>
        </w:tc>
        <w:tc>
          <w:tcPr>
            <w:tcW w:w="9180" w:type="dxa"/>
            <w:vAlign w:val="bottom"/>
          </w:tcPr>
          <w:p>
            <w:pPr>
              <w:ind w:left="260"/>
              <w:spacing w:after="0"/>
              <w:rPr>
                <w:sz w:val="20"/>
                <w:szCs w:val="20"/>
                <w:color w:val="auto"/>
              </w:rPr>
            </w:pPr>
            <w:r>
              <w:rPr>
                <w:rFonts w:ascii="Arial" w:cs="Arial" w:eastAsia="Arial" w:hAnsi="Arial"/>
                <w:sz w:val="18"/>
                <w:szCs w:val="18"/>
                <w:color w:val="auto"/>
              </w:rPr>
              <w:t>Quantitative and Qualitative Disclosures About Market Risk</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32</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8.</w:t>
            </w:r>
          </w:p>
        </w:tc>
        <w:tc>
          <w:tcPr>
            <w:tcW w:w="9180" w:type="dxa"/>
            <w:vAlign w:val="bottom"/>
          </w:tcPr>
          <w:p>
            <w:pPr>
              <w:ind w:left="260"/>
              <w:spacing w:after="0"/>
              <w:rPr>
                <w:sz w:val="20"/>
                <w:szCs w:val="20"/>
                <w:color w:val="auto"/>
              </w:rPr>
            </w:pPr>
            <w:r>
              <w:rPr>
                <w:rFonts w:ascii="Arial" w:cs="Arial" w:eastAsia="Arial" w:hAnsi="Arial"/>
                <w:sz w:val="18"/>
                <w:szCs w:val="18"/>
                <w:color w:val="auto"/>
              </w:rPr>
              <w:t>Consolidated Financial Statements and Supplementary Data</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33</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9.</w:t>
            </w:r>
          </w:p>
        </w:tc>
        <w:tc>
          <w:tcPr>
            <w:tcW w:w="9180" w:type="dxa"/>
            <w:vAlign w:val="bottom"/>
          </w:tcPr>
          <w:p>
            <w:pPr>
              <w:ind w:left="26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53</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9A.</w:t>
            </w:r>
          </w:p>
        </w:tc>
        <w:tc>
          <w:tcPr>
            <w:tcW w:w="9180" w:type="dxa"/>
            <w:vAlign w:val="bottom"/>
          </w:tcPr>
          <w:p>
            <w:pPr>
              <w:ind w:left="260"/>
              <w:spacing w:after="0"/>
              <w:rPr>
                <w:sz w:val="20"/>
                <w:szCs w:val="20"/>
                <w:color w:val="auto"/>
              </w:rPr>
            </w:pPr>
            <w:r>
              <w:rPr>
                <w:rFonts w:ascii="Arial" w:cs="Arial" w:eastAsia="Arial" w:hAnsi="Arial"/>
                <w:sz w:val="18"/>
                <w:szCs w:val="18"/>
                <w:color w:val="auto"/>
              </w:rPr>
              <w:t>Controls and Procedures</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53</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9B.</w:t>
            </w:r>
          </w:p>
        </w:tc>
        <w:tc>
          <w:tcPr>
            <w:tcW w:w="9180" w:type="dxa"/>
            <w:vAlign w:val="bottom"/>
          </w:tcPr>
          <w:p>
            <w:pPr>
              <w:ind w:left="260"/>
              <w:spacing w:after="0"/>
              <w:rPr>
                <w:sz w:val="20"/>
                <w:szCs w:val="20"/>
                <w:color w:val="auto"/>
              </w:rPr>
            </w:pPr>
            <w:r>
              <w:rPr>
                <w:rFonts w:ascii="Arial" w:cs="Arial" w:eastAsia="Arial" w:hAnsi="Arial"/>
                <w:sz w:val="18"/>
                <w:szCs w:val="18"/>
                <w:color w:val="auto"/>
              </w:rPr>
              <w:t>Other Information</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53</w:t>
            </w:r>
          </w:p>
        </w:tc>
      </w:tr>
      <w:tr>
        <w:trPr>
          <w:trHeight w:val="432"/>
        </w:trPr>
        <w:tc>
          <w:tcPr>
            <w:tcW w:w="1020" w:type="dxa"/>
            <w:vAlign w:val="bottom"/>
          </w:tcPr>
          <w:p>
            <w:pPr>
              <w:spacing w:after="0"/>
              <w:rPr>
                <w:sz w:val="24"/>
                <w:szCs w:val="24"/>
                <w:color w:val="auto"/>
              </w:rPr>
            </w:pPr>
          </w:p>
        </w:tc>
        <w:tc>
          <w:tcPr>
            <w:tcW w:w="9180" w:type="dxa"/>
            <w:vAlign w:val="bottom"/>
          </w:tcPr>
          <w:p>
            <w:pPr>
              <w:jc w:val="center"/>
              <w:ind w:left="150"/>
              <w:spacing w:after="0"/>
              <w:rPr>
                <w:sz w:val="20"/>
                <w:szCs w:val="20"/>
                <w:color w:val="auto"/>
              </w:rPr>
            </w:pPr>
            <w:r>
              <w:rPr>
                <w:rFonts w:ascii="Arial" w:cs="Arial" w:eastAsia="Arial" w:hAnsi="Arial"/>
                <w:sz w:val="18"/>
                <w:szCs w:val="18"/>
                <w:b w:val="1"/>
                <w:bCs w:val="1"/>
                <w:color w:val="auto"/>
              </w:rPr>
              <w:t>PART III</w:t>
            </w:r>
          </w:p>
        </w:tc>
        <w:tc>
          <w:tcPr>
            <w:tcW w:w="1220" w:type="dxa"/>
            <w:vAlign w:val="bottom"/>
          </w:tcPr>
          <w:p>
            <w:pPr>
              <w:spacing w:after="0"/>
              <w:rPr>
                <w:sz w:val="24"/>
                <w:szCs w:val="24"/>
                <w:color w:val="auto"/>
              </w:rPr>
            </w:pP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Item 10.</w:t>
            </w:r>
          </w:p>
        </w:tc>
        <w:tc>
          <w:tcPr>
            <w:tcW w:w="9180" w:type="dxa"/>
            <w:vAlign w:val="bottom"/>
          </w:tcPr>
          <w:p>
            <w:pPr>
              <w:ind w:left="260"/>
              <w:spacing w:after="0"/>
              <w:rPr>
                <w:sz w:val="20"/>
                <w:szCs w:val="20"/>
                <w:color w:val="auto"/>
              </w:rPr>
            </w:pPr>
            <w:r>
              <w:rPr>
                <w:rFonts w:ascii="Arial" w:cs="Arial" w:eastAsia="Arial" w:hAnsi="Arial"/>
                <w:sz w:val="18"/>
                <w:szCs w:val="18"/>
                <w:color w:val="auto"/>
              </w:rPr>
              <w:t>Directors, Executive Officers and Corporate Governance</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54</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11.</w:t>
            </w:r>
          </w:p>
        </w:tc>
        <w:tc>
          <w:tcPr>
            <w:tcW w:w="9180" w:type="dxa"/>
            <w:vAlign w:val="bottom"/>
          </w:tcPr>
          <w:p>
            <w:pPr>
              <w:ind w:left="260"/>
              <w:spacing w:after="0"/>
              <w:rPr>
                <w:sz w:val="20"/>
                <w:szCs w:val="20"/>
                <w:color w:val="auto"/>
              </w:rPr>
            </w:pPr>
            <w:r>
              <w:rPr>
                <w:rFonts w:ascii="Arial" w:cs="Arial" w:eastAsia="Arial" w:hAnsi="Arial"/>
                <w:sz w:val="18"/>
                <w:szCs w:val="18"/>
                <w:color w:val="auto"/>
              </w:rPr>
              <w:t>Executive Compensation</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54</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12.</w:t>
            </w:r>
          </w:p>
        </w:tc>
        <w:tc>
          <w:tcPr>
            <w:tcW w:w="9180" w:type="dxa"/>
            <w:vAlign w:val="bottom"/>
          </w:tcPr>
          <w:p>
            <w:pPr>
              <w:ind w:left="26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54</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13.</w:t>
            </w:r>
          </w:p>
        </w:tc>
        <w:tc>
          <w:tcPr>
            <w:tcW w:w="9180" w:type="dxa"/>
            <w:vAlign w:val="bottom"/>
          </w:tcPr>
          <w:p>
            <w:pPr>
              <w:ind w:left="26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54</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14.</w:t>
            </w:r>
          </w:p>
        </w:tc>
        <w:tc>
          <w:tcPr>
            <w:tcW w:w="9180" w:type="dxa"/>
            <w:vAlign w:val="bottom"/>
          </w:tcPr>
          <w:p>
            <w:pPr>
              <w:ind w:left="260"/>
              <w:spacing w:after="0"/>
              <w:rPr>
                <w:sz w:val="20"/>
                <w:szCs w:val="20"/>
                <w:color w:val="auto"/>
              </w:rPr>
            </w:pPr>
            <w:r>
              <w:rPr>
                <w:rFonts w:ascii="Arial" w:cs="Arial" w:eastAsia="Arial" w:hAnsi="Arial"/>
                <w:sz w:val="18"/>
                <w:szCs w:val="18"/>
                <w:color w:val="auto"/>
              </w:rPr>
              <w:t>Principal Accountant Fees and Services</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54</w:t>
            </w:r>
          </w:p>
        </w:tc>
      </w:tr>
      <w:tr>
        <w:trPr>
          <w:trHeight w:val="432"/>
        </w:trPr>
        <w:tc>
          <w:tcPr>
            <w:tcW w:w="1020" w:type="dxa"/>
            <w:vAlign w:val="bottom"/>
          </w:tcPr>
          <w:p>
            <w:pPr>
              <w:spacing w:after="0"/>
              <w:rPr>
                <w:sz w:val="24"/>
                <w:szCs w:val="24"/>
                <w:color w:val="auto"/>
              </w:rPr>
            </w:pPr>
          </w:p>
        </w:tc>
        <w:tc>
          <w:tcPr>
            <w:tcW w:w="9180" w:type="dxa"/>
            <w:vAlign w:val="bottom"/>
          </w:tcPr>
          <w:p>
            <w:pPr>
              <w:jc w:val="center"/>
              <w:ind w:left="150"/>
              <w:spacing w:after="0"/>
              <w:rPr>
                <w:sz w:val="20"/>
                <w:szCs w:val="20"/>
                <w:color w:val="auto"/>
              </w:rPr>
            </w:pPr>
            <w:r>
              <w:rPr>
                <w:rFonts w:ascii="Arial" w:cs="Arial" w:eastAsia="Arial" w:hAnsi="Arial"/>
                <w:sz w:val="18"/>
                <w:szCs w:val="18"/>
                <w:b w:val="1"/>
                <w:bCs w:val="1"/>
                <w:color w:val="auto"/>
                <w:w w:val="98"/>
              </w:rPr>
              <w:t>PART IV</w:t>
            </w:r>
          </w:p>
        </w:tc>
        <w:tc>
          <w:tcPr>
            <w:tcW w:w="1220" w:type="dxa"/>
            <w:vAlign w:val="bottom"/>
          </w:tcPr>
          <w:p>
            <w:pPr>
              <w:spacing w:after="0"/>
              <w:rPr>
                <w:sz w:val="24"/>
                <w:szCs w:val="24"/>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15.</w:t>
            </w:r>
          </w:p>
        </w:tc>
        <w:tc>
          <w:tcPr>
            <w:tcW w:w="9180" w:type="dxa"/>
            <w:vAlign w:val="bottom"/>
          </w:tcPr>
          <w:p>
            <w:pPr>
              <w:ind w:left="260"/>
              <w:spacing w:after="0"/>
              <w:rPr>
                <w:sz w:val="20"/>
                <w:szCs w:val="20"/>
                <w:color w:val="auto"/>
              </w:rPr>
            </w:pPr>
            <w:r>
              <w:rPr>
                <w:rFonts w:ascii="Arial" w:cs="Arial" w:eastAsia="Arial" w:hAnsi="Arial"/>
                <w:sz w:val="18"/>
                <w:szCs w:val="18"/>
                <w:color w:val="auto"/>
              </w:rPr>
              <w:t>Exhibits and Financial Statement Schedules</w:t>
            </w:r>
          </w:p>
        </w:tc>
        <w:tc>
          <w:tcPr>
            <w:tcW w:w="1220" w:type="dxa"/>
            <w:vAlign w:val="bottom"/>
          </w:tcPr>
          <w:p>
            <w:pPr>
              <w:jc w:val="center"/>
              <w:ind w:left="590"/>
              <w:spacing w:after="0"/>
              <w:rPr>
                <w:sz w:val="20"/>
                <w:szCs w:val="20"/>
                <w:color w:val="auto"/>
              </w:rPr>
            </w:pPr>
            <w:r>
              <w:rPr>
                <w:rFonts w:ascii="Arial" w:cs="Arial" w:eastAsia="Arial" w:hAnsi="Arial"/>
                <w:sz w:val="18"/>
                <w:szCs w:val="18"/>
                <w:color w:val="auto"/>
                <w:w w:val="89"/>
              </w:rPr>
              <w:t>55</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Signatures</w:t>
            </w:r>
          </w:p>
        </w:tc>
        <w:tc>
          <w:tcPr>
            <w:tcW w:w="9180" w:type="dxa"/>
            <w:vAlign w:val="bottom"/>
          </w:tcPr>
          <w:p>
            <w:pPr>
              <w:spacing w:after="0"/>
              <w:rPr>
                <w:sz w:val="24"/>
                <w:szCs w:val="24"/>
                <w:color w:val="auto"/>
              </w:rPr>
            </w:pPr>
          </w:p>
        </w:tc>
        <w:tc>
          <w:tcPr>
            <w:tcW w:w="1220" w:type="dxa"/>
            <w:vAlign w:val="bottom"/>
          </w:tcPr>
          <w:p>
            <w:pPr>
              <w:jc w:val="center"/>
              <w:ind w:left="590"/>
              <w:spacing w:after="0"/>
              <w:rPr>
                <w:sz w:val="20"/>
                <w:szCs w:val="20"/>
                <w:color w:val="auto"/>
              </w:rPr>
            </w:pPr>
            <w:r>
              <w:rPr>
                <w:rFonts w:ascii="Arial" w:cs="Arial" w:eastAsia="Arial" w:hAnsi="Arial"/>
                <w:sz w:val="18"/>
                <w:szCs w:val="18"/>
                <w:color w:val="auto"/>
                <w:w w:val="89"/>
              </w:rPr>
              <w:t>57</w:t>
            </w:r>
          </w:p>
        </w:tc>
      </w:tr>
      <w:tr>
        <w:trPr>
          <w:trHeight w:val="918"/>
        </w:trPr>
        <w:tc>
          <w:tcPr>
            <w:tcW w:w="1020" w:type="dxa"/>
            <w:vAlign w:val="bottom"/>
          </w:tcPr>
          <w:p>
            <w:pPr>
              <w:spacing w:after="0"/>
              <w:rPr>
                <w:sz w:val="24"/>
                <w:szCs w:val="24"/>
                <w:color w:val="auto"/>
              </w:rPr>
            </w:pPr>
          </w:p>
        </w:tc>
        <w:tc>
          <w:tcPr>
            <w:tcW w:w="9180" w:type="dxa"/>
            <w:vAlign w:val="bottom"/>
          </w:tcPr>
          <w:p>
            <w:pPr>
              <w:jc w:val="center"/>
              <w:ind w:left="110"/>
              <w:spacing w:after="0"/>
              <w:rPr>
                <w:sz w:val="20"/>
                <w:szCs w:val="20"/>
                <w:color w:val="auto"/>
              </w:rPr>
            </w:pPr>
            <w:r>
              <w:rPr>
                <w:rFonts w:ascii="Arial" w:cs="Arial" w:eastAsia="Arial" w:hAnsi="Arial"/>
                <w:sz w:val="18"/>
                <w:szCs w:val="18"/>
                <w:color w:val="auto"/>
                <w:w w:val="99"/>
              </w:rPr>
              <w:t>2</w:t>
            </w:r>
          </w:p>
        </w:tc>
        <w:tc>
          <w:tcPr>
            <w:tcW w:w="1220" w:type="dxa"/>
            <w:vAlign w:val="bottom"/>
          </w:tcPr>
          <w:p>
            <w:pPr>
              <w:spacing w:after="0"/>
              <w:rPr>
                <w:sz w:val="24"/>
                <w:szCs w:val="24"/>
                <w:color w:val="auto"/>
              </w:rPr>
            </w:pPr>
          </w:p>
        </w:tc>
      </w:tr>
      <w:tr>
        <w:trPr>
          <w:trHeight w:val="108"/>
        </w:trPr>
        <w:tc>
          <w:tcPr>
            <w:tcW w:w="1020" w:type="dxa"/>
            <w:vAlign w:val="bottom"/>
            <w:tcBorders>
              <w:bottom w:val="single" w:sz="8" w:color="808080"/>
            </w:tcBorders>
          </w:tcPr>
          <w:p>
            <w:pPr>
              <w:spacing w:after="0"/>
              <w:rPr>
                <w:sz w:val="9"/>
                <w:szCs w:val="9"/>
                <w:color w:val="auto"/>
              </w:rPr>
            </w:pPr>
          </w:p>
        </w:tc>
        <w:tc>
          <w:tcPr>
            <w:tcW w:w="91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been a leading supplier of innovative signal processing and digital communications products for imaging and telecommunications applications since the early 1990s.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digital communications technology has been widely adopted by industry standards bodies for Digital Subscriber Line (“DSL”). DSL enables phone companies to deliver broadband services, including Internet access, voice and television, over twisted pair copper telephone wires. DSL is the most widely used broadband technology in the world, delivering broadband service to hundreds of millions of subscribers across the globe.</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Until November 2009, we licensed DSL silicon intellectual property (“IP”) to enable semiconductor suppliers to manufacture and sell integrated circuits for the DSL industry. During 2009, our primary licensing customers were Ikanos Communications, Inc. (“Ikanos”), Infineon Technologies AG (“Infineon”) and (Lantiq Deutschland GmbH (“Lantiq”). Lantiq was formerly a division within Infineon until its spinout in 2009. In November 2009, we closed a transaction involving the sale of our DSL and home networking silicon IP assets as well as certain patents to Lantiq. In addition, 41 Aware employees became employees of Lantiq as part of this transaction. As a result of this transaction, we will not be offering DSL or home networking silicon IP products for the foreseeable future. We will continue to support Ikanos and continue to receive royalties from Ikanos and Lantiq for the use of our DSL technology in their products.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Our operations are now focused on expanding our biometrics product and service offerings as well as our DSL test and diagnostics product offerings.</w:t>
      </w:r>
    </w:p>
    <w:p>
      <w:pPr>
        <w:spacing w:after="0" w:line="26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biometrics software products leverage imaging and biometrics technologies developed by Aware over the past 20 years. We license and sell a broad range of software products that are used in biometric systems worldwide. Our products provide interoperable, standards-compliant, field-proven biometric functionality for enrollment of fingerprints and facial images, biometric ID card personalization and reading, and transmission of biometric transactions throughout identification networks. Our products are utilized in biometrics systems for criminal justice, border management and credentialing applications through a customer base of OEMs and system integrators. We also sell to end-users such as government agencies. Our server-based Biometrics Services Platform (BioSP)™ is a modular, flexible software platform that enables developers, integrators and end-users to rapidly build and deploy centralized multimodal biometric data processing solutions in support of a service-oriented architecture. The biometrics industry has benefited from the increased development of industry standards and supportive legislation since September 11, 2001. The use of biometrics in security, credentialing and border management applications is becoming pervasive. In addition, we offer professional services to certain customers to assist in the implementation of biometrics systems. We also sell software products for medical and digital imaging applications based upon industry standards such as JPEG 2000 and JPIP.</w:t>
      </w:r>
    </w:p>
    <w:p>
      <w:pPr>
        <w:spacing w:after="0" w:line="19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test and diagnostics products leverage DSL technologies developed by Aware since the early 1990s. As phone companies expand their DSL offerings to include IPTV, video and triple play services, there is expected to be an increased need for test and diagnostics solutions that provide improved monitoring and troubleshooting of DSL networks. We sell DSL test and diagnostics hardware and software products to pre-qualify, monitor and troubleshoot DSL service. We sell our hardware and software products to OEM suppliers of DSL test equipment, including automated testheads and handheld testers. We also sell our software products to telephone companies and network equipment suppliers. Our hardware products support all common DSL network architectures in single, easy-to-integrate modules. We enable broad connectivity for DSL test and diagnostics applications by supporting interoperability across an extensive footprint of central office and customer premises equipment. Our Dr. DSL® software products support pre-qualification, provisioning, rate estimation, troubleshooting and maintenance applications. Our line diagnostics platform (LDP), an advanced test and diagnostics server-based software offering, provides a comprehensive, centralized system for analysis and diagnostics of a service provider’s DSL network. By utilizing equipment infrastructure already in place for DSL service delivery, LDP enables a cost-effective means for service providers to ensure quality levels and troubleshoot their networks.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jc w:val="both"/>
        <w:spacing w:after="0" w:line="264" w:lineRule="auto"/>
        <w:rPr>
          <w:sz w:val="20"/>
          <w:szCs w:val="20"/>
          <w:color w:val="auto"/>
        </w:rPr>
      </w:pPr>
      <w:r>
        <w:rPr>
          <w:rFonts w:ascii="Arial" w:cs="Arial" w:eastAsia="Arial" w:hAnsi="Arial"/>
          <w:sz w:val="18"/>
          <w:szCs w:val="18"/>
          <w:color w:val="auto"/>
        </w:rPr>
        <w:t>We have research and development activities underway to expand our product offerings and develop new technologies in biometrics and imaging as well as in communications test and diagnostics applications. We also play an active role at standards setting bodies so that we can anticipate and influence technology advances and changes in industry requirements.</w:t>
      </w:r>
    </w:p>
    <w:p>
      <w:pPr>
        <w:spacing w:after="0" w:line="20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are headquartered in Bedford, Massachusetts. Our telephone number is (781) 276-4000, and our website is www.aware.com. Incorporated in Massachusetts in 1986, we employed 82 people as of December 31, 2009. Our stock is traded on the Nasdaq Global Market under the symbol AWRE.</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website provides a link to a third-party website through which our annual, quarterly and current reports, and amendments to those reports, are available free of charge. We believe these reports are made available as soon as reasonably practicable after we electronically file them with, or furnish them to, the SEC. We do not maintain or provide any information directly to the third-party website, and we are not responsible for its accuracy. You may also access our various SEC filings and reports at the SEC’s website at www.sec.gov.</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Biometrics Industry Background</w:t>
      </w:r>
      <w:r>
        <w:rPr>
          <w:rFonts w:ascii="Arial" w:cs="Arial" w:eastAsia="Arial" w:hAnsi="Arial"/>
          <w:sz w:val="18"/>
          <w:szCs w:val="18"/>
          <w:color w:val="auto"/>
        </w:rPr>
        <w:t>. Biometric identification systems have traditionally used fingerprints as the primary means to identify individuals and they</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be pervasive in a wide variety of government applications. These systems gather fingerprints at enrollment stations and access control locations, and utilize transaction processing hardware and software and matching systems for identification. The emergence of digital fingerprint acquisition devices, compression, and standardized biometric transaction/interchange formats in the 1990s has enabled biometrics systems to process and match fingerprints faster. These electronic systems are also capable of being upgraded to utilize biometrics other than or in addition to digital fingerprints, such as iris and facial images.</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capture and secure storage of biometric information over the past ten years has created a foundation for greater use of biometrics in government and commercial activities. The interest in using biometrics to improve security has continued to grow during this time. The emergence and adoption of industry standards for border control and secure credential applications has increased the reach and use of biometrics in security applications. Legislation is driving many government programs now underway that require the use of biometric information in e-passports, visas and personal identification cards. Personal identity verification (“PIV”) and other secure credentialing systems are being employed by government agencies to standardize federal employee and contractor IDs and utilize them to control access to government facilities and information systems. Other biometrics applications such as border management, and upgrades to state and local automated fingerprint identification systems (“AFIS”) used for fingerprint enrollments are also expected to present opportunities for vendors of biometrics products in the next several years. The use of biometric security systems by regulated segments of the financial, transportation and healthcare industries has also increased. As biometric security systems gain acceptance in new areas, and as infrastructure build-outs take hold, new opportunities are emerging for biometrics solutions suppliers. The biometrics security systems market is also expected to grow as the use of new biometrics, other than or in addition to fingerprints, gain favor.</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Vendors of the hardware and/or software component of biometric enrollment stations include Lockheed Martin Corporation (“Lockheed”), Cross Match Technologies, Inc. (“Cross Match”), Unisys Corporation (“Unisys”), Science Applications International Corporation (“SAIC”), L1 Identity Solutions, Inc. (“L1”), Northrop Grumman Corporation (“Northrop”), Hewlett-Packard Electronic Data Systems (“EDS”) and NEC Corporation (“NEC”). Fingerprint matching and/or biometric transaction management systems are provided by companies such as Sagem Telecommunications (“Sagem”), NEC, Cogent Communications Group, Inc. (“Cogent”), and numerous system integrators.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DSL Industry Background</w:t>
      </w:r>
      <w:r>
        <w:rPr>
          <w:rFonts w:ascii="Arial" w:cs="Arial" w:eastAsia="Arial" w:hAnsi="Arial"/>
          <w:sz w:val="18"/>
          <w:szCs w:val="18"/>
          <w:color w:val="auto"/>
        </w:rPr>
        <w:t>. DSL technology allows telephone companies to offer high-speed data services and Internet Protocol television (“IPTV”) over their</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telephone wires. There are hundreds of millions of DSL lines in service across North America, Europe, the Middle East, Africa, the Asia Pacific region and Latin America.</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 w:name="page5"/>
    <w:bookmarkEnd w:id="4"/>
    <w:p>
      <w:pPr>
        <w:jc w:val="both"/>
        <w:spacing w:after="0" w:line="270" w:lineRule="auto"/>
        <w:rPr>
          <w:sz w:val="20"/>
          <w:szCs w:val="20"/>
          <w:color w:val="auto"/>
        </w:rPr>
      </w:pPr>
      <w:r>
        <w:rPr>
          <w:rFonts w:ascii="Arial" w:cs="Arial" w:eastAsia="Arial" w:hAnsi="Arial"/>
          <w:sz w:val="17"/>
          <w:szCs w:val="17"/>
          <w:color w:val="auto"/>
        </w:rPr>
        <w:t>As the demand for faster residential broadband service continues to grow, telephone companies are upgrading their networks to increase the data rates that are delivered to their residential customers. With higher data rates, phone companies can offer improved service offerings such as television via IPTV, as well as video and triple play services. IPTV provides phone companies a means to deliver a superior and differentiated TV service by offering more channel selections, better quality and an improved user experience. Improved service offerings are expected to continue to drive increased demand for the fastest versions of DSL service over the next several years. Network upgrades for faster service require large financial expenditures and involve the deployment of fiber optic-based communications to points deeper in the access networks that are closer to residential customers than typical central office locations. The resulting fiber-to-the-node (“FTTN”) networks also require that new equipment platforms be installed at fiber-fed points. These equipment platforms deploy ADSL2+ or VDSL2 technology over existing telephone wires to provide increased data rates and reliability. ADSL2+, standardized by the ITU in 2003, achieves data rates up to 24 Mbps upstream on phone lines as long as 3,000 feet. VDSL2, standardized in 2006, is the fastest version of DSL providing data rates up to 100 Mbps.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As phone companies deploy higher data rates and video services, they also increasingly need improved solutions for testing, diagnosing and maintaining their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DSL networks and services. The ADSL2+ and VDSL2 standards are the first DSL standards to incorporate test functionality for analyzing and diagnosing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DSL networks, thus improving a phone company’s ability to test and diagnose their network.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DSL test and diagnostics infrastructure may incorporate dedicated hardware as well as software components and subsystems.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Automated test equipment (“ATE”) hardware is often used for testing and diagnosing DSL lines and services. The DSL ATE infrastructure typically involves the use of a centrally located testhead platform. At this location, information is gathered from the telephone network and used for remotely provisioning or troubleshooting DSL service.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about DSL networks is also gathered using handheld testers. The information gathered in ATE and handhelds is generally made available to telephone companies’ operations organizations through a complex software network. This information assists telephone companies in pre-qualifying, analyzing and diagnosing problems encountered during service deployment or during operation.</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Software-based test solutions have begun to emerge in the industry as well. These solutions rely upon gathering test and diagnostic information from DSL infrastructure in place for delivering service.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Service providers are able to purchase DSL test and diagnostics hardware and software products from a number of companies including Alcatel-Lucent (“Alcatel”), Spirent Communications PLC (“Spirent”), Tollgrade Communications, Inc. (“Tollgrade”), JDS Uniphase Corporation (“JDS”), Sunrise Communications, Inc. (“Sunrise”), Fluke Corporation (“Fluke”), Kurth Electronic GmbH (“Kurth”), Adaptive Spectrum and Signal Alignment Inc (“Assia”), and others.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Aware Biometrics and Imaging Products and Services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Aware has been a pioneer in the development of wavelet-based image compression technology since the late 1980s. Aware provides standards-compliant biometrics software tools that enable integrators, solution providers, and government agencies to compress, analyze, optimize, format, and transport biometric images and data according to domestic and international standards.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Our biometrics and imaging products address:</w:t>
      </w:r>
    </w:p>
    <w:p>
      <w:pPr>
        <w:spacing w:after="0" w:line="252"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Data formatting and interchange software components that support NIST, ISO, INCITS, ICAO, and FIPS 201 standards and enable interoperability.</w:t>
      </w:r>
    </w:p>
    <w:p>
      <w:pPr>
        <w:spacing w:after="0" w:line="46" w:lineRule="exact"/>
        <w:rPr>
          <w:rFonts w:ascii="Arial" w:cs="Arial" w:eastAsia="Arial" w:hAnsi="Arial"/>
          <w:sz w:val="16"/>
          <w:szCs w:val="16"/>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Image compression software components for fingerprint and facial image compression such as WSQ and JPEG2000.</w:t>
      </w:r>
    </w:p>
    <w:p>
      <w:pPr>
        <w:spacing w:after="0" w:line="9" w:lineRule="exact"/>
        <w:rPr>
          <w:rFonts w:ascii="Arial" w:cs="Arial" w:eastAsia="Arial" w:hAnsi="Arial"/>
          <w:sz w:val="18"/>
          <w:szCs w:val="18"/>
          <w:color w:val="auto"/>
        </w:rPr>
      </w:pPr>
    </w:p>
    <w:p>
      <w:pPr>
        <w:ind w:left="460" w:hanging="452"/>
        <w:spacing w:after="0" w:line="265"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Biometric ID cards. Our PIVSuite™ family of software development kits (SDKs) supports registration, identity proofing, ID card personalization and issuance applications in compliance with FIPS 201. CaptureSuite™ is a family of SDKs for automatic capture and processing of fingerprints.</w:t>
      </w: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Image processing for biometric quality analysis, capture and transaction processing applications.</w:t>
      </w:r>
    </w:p>
    <w:p>
      <w:pPr>
        <w:spacing w:after="0" w:line="9" w:lineRule="exact"/>
        <w:rPr>
          <w:rFonts w:ascii="Arial" w:cs="Arial" w:eastAsia="Arial" w:hAnsi="Arial"/>
          <w:sz w:val="18"/>
          <w:szCs w:val="18"/>
          <w:color w:val="auto"/>
        </w:rPr>
      </w:pPr>
    </w:p>
    <w:p>
      <w:pPr>
        <w:jc w:val="both"/>
        <w:ind w:left="460" w:hanging="452"/>
        <w:spacing w:after="0" w:line="221"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Networking software for building and deploying multimodal biometric data workflow solutions. Our Biometrics Services Platform (BioSP</w:t>
      </w:r>
      <w:r>
        <w:rPr>
          <w:rFonts w:ascii="Arial" w:cs="Arial" w:eastAsia="Arial" w:hAnsi="Arial"/>
          <w:sz w:val="25"/>
          <w:szCs w:val="25"/>
          <w:color w:val="auto"/>
          <w:vertAlign w:val="superscript"/>
        </w:rPr>
        <w:t>TM</w:t>
      </w:r>
      <w:r>
        <w:rPr>
          <w:rFonts w:ascii="Arial" w:cs="Arial" w:eastAsia="Arial" w:hAnsi="Arial"/>
          <w:sz w:val="18"/>
          <w:szCs w:val="18"/>
          <w:color w:val="auto"/>
        </w:rPr>
        <w:t>) is a service-oriented platform for biometrics data processing and integration applications. BioSP supports the collection of biometrics from a distributed network, and subsequent aggregation, analysis, processing and integration of this data into larger systems.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18"/>
          <w:szCs w:val="18"/>
          <w:color w:val="auto"/>
        </w:rPr>
        <w:t>We sell our biometrics software products to integrators, OEMs and government agencies. We supply a broad range of fingerprint and facial biometric functionality, including enrollment, ID personalization and reading, and networking. Our solutions address border control and management, secure credentialing, and fingerprint background check applications. We also sell medical imaging and digital imaging software solutions. We have a large number of OEM customers in the biometrics, medical and digital imaging markets.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Beginning in 2007, we expanded our presence in the biometrics market by offering professional services to certain customers. Our professional services are focused on assisting customers with the design and development of systems for biometrics applications.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Aware DSL Test and Diagnostics Products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developed test and diagnostics hardware and software products based upon our universal DMT (UDMT™) and Dr. DSL technology. These products are designed to improve the ability of service providers to pre-qualify, provision, monitor, and troubleshoot DSL networks by enabling them to collect relevant information and diagnose problems regarding their service offerings. The primary goal of these products is to reduce the costs associated with service set-up, troubleshooting and maintenance.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Aware’s UDMT modem modules can be software-configured to emulate both Digital Subscriber Line Access Multiplexers (“DSLAMs”) at central office end of the line and customer premise equipment (“CPE”) at the remote customer of the line across a broad range of DSL technologies, including ADSL, ADSL2+, legacy VDSL1/1.5 and VDSL2. A single UDMT module will support all common DSL network architectures so that test solutions can easily and cost-effectively interoperate with installed DSLAMs and CPE/gateways.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principal UDMT modem modules include the 450/455, 475, 550 and 600 model numbers. Each of these are easy-to-integrate, standard-compliant, modules for ADSL/2/2+ and VDSL networks. Each can be software configured to support DSLAM or CPE emulation.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primarily sell our hardware products to OEMs who supply DSL automated test equipment and DSL handheld testers.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Aware’s Dr. DSL software modules perform pre-qualification, fault detection, line diagnostics and line analysis functionality. Dr. DSL software is utilized by our UDMT modules.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Dr. DSL Line Diagnostics Platform (“LDP”) is a server-based software platform that provides a comprehensive, centralized system for analysis and diagnostics of a service provider’s DSL lines. With LDP, we provide service providers with a software-based test solution that can use existing infrastructure to provide provisioning and maintenance services. This enables telephone companies to perform analysis and diagnostics of traditional POTS and traditional and advanced DSL services, including IPTV and triple play services.</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primarily sell our Dr. DSL software products to automated test equipment, outside plant equipment, and DSL network equipment suppliers. We also sell to telephone companies.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Aware Strategy</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Aware is focused on developing innovative products that deliver a strong value proposition to our customers. We have vast experience in the biometrics and DSL industries, a broad technology foundation in signal processing, image processing and communications and long-standing relationships with industry-leading OEMs and end users.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Key elements of our strategy include:</w:t>
      </w:r>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Develop innovative products for our target markets. </w:t>
      </w:r>
      <w:r>
        <w:rPr>
          <w:rFonts w:ascii="Arial" w:cs="Arial" w:eastAsia="Arial" w:hAnsi="Arial"/>
          <w:sz w:val="18"/>
          <w:szCs w:val="18"/>
          <w:color w:val="auto"/>
        </w:rPr>
        <w:t>Our technology forms the basis for our product developments in biometrics, imaging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applications. Our research and development activities focus primarily on product developments that commercialize our technology into software and hardware products for these applications.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6" w:name="page7"/>
    <w:bookmarkEnd w:id="6"/>
    <w:p>
      <w:pPr>
        <w:jc w:val="both"/>
        <w:spacing w:after="0" w:line="279" w:lineRule="auto"/>
        <w:rPr>
          <w:sz w:val="20"/>
          <w:szCs w:val="20"/>
          <w:color w:val="auto"/>
        </w:rPr>
      </w:pPr>
      <w:r>
        <w:rPr>
          <w:rFonts w:ascii="Arial" w:cs="Arial" w:eastAsia="Arial" w:hAnsi="Arial"/>
          <w:sz w:val="17"/>
          <w:szCs w:val="17"/>
          <w:i w:val="1"/>
          <w:iCs w:val="1"/>
          <w:color w:val="auto"/>
        </w:rPr>
        <w:t xml:space="preserve">Commercialize software components and server-based solutions for biometrics applications. </w:t>
      </w:r>
      <w:r>
        <w:rPr>
          <w:rFonts w:ascii="Arial" w:cs="Arial" w:eastAsia="Arial" w:hAnsi="Arial"/>
          <w:sz w:val="17"/>
          <w:szCs w:val="17"/>
          <w:color w:val="auto"/>
        </w:rPr>
        <w:t>We have developed software products for fingerprint enrollment,</w:t>
      </w:r>
      <w:r>
        <w:rPr>
          <w:rFonts w:ascii="Arial" w:cs="Arial" w:eastAsia="Arial" w:hAnsi="Arial"/>
          <w:sz w:val="17"/>
          <w:szCs w:val="17"/>
          <w:i w:val="1"/>
          <w:iCs w:val="1"/>
          <w:color w:val="auto"/>
        </w:rPr>
        <w:t xml:space="preserve"> </w:t>
      </w:r>
      <w:r>
        <w:rPr>
          <w:rFonts w:ascii="Arial" w:cs="Arial" w:eastAsia="Arial" w:hAnsi="Arial"/>
          <w:sz w:val="17"/>
          <w:szCs w:val="17"/>
          <w:color w:val="auto"/>
        </w:rPr>
        <w:t>border control and secure credential applications. Our Biometrics Services Platform (BioSP) is a server-based software product for enrollment of biometric data for personal identity verification and other applications. We sell products and services primarily to OEM suppliers and systems integrators giving us broad exposure to the global biometrics market. We also sell directly to government agencies and other end-users.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Commercialize hardware and software solutions for DSL test and diagnostics applications. </w:t>
      </w:r>
      <w:r>
        <w:rPr>
          <w:rFonts w:ascii="Arial" w:cs="Arial" w:eastAsia="Arial" w:hAnsi="Arial"/>
          <w:sz w:val="17"/>
          <w:szCs w:val="17"/>
          <w:color w:val="auto"/>
        </w:rPr>
        <w:t>We have developed hardware modules and software solutions for</w:t>
      </w:r>
      <w:r>
        <w:rPr>
          <w:rFonts w:ascii="Arial" w:cs="Arial" w:eastAsia="Arial" w:hAnsi="Arial"/>
          <w:sz w:val="17"/>
          <w:szCs w:val="17"/>
          <w:i w:val="1"/>
          <w:iCs w:val="1"/>
          <w:color w:val="auto"/>
        </w:rPr>
        <w:t xml:space="preserve"> </w:t>
      </w:r>
      <w:r>
        <w:rPr>
          <w:rFonts w:ascii="Arial" w:cs="Arial" w:eastAsia="Arial" w:hAnsi="Arial"/>
          <w:sz w:val="17"/>
          <w:szCs w:val="17"/>
          <w:color w:val="auto"/>
        </w:rPr>
        <w:t>pre-qualifying, provisioning, and troubleshooting DSL networks. These products leverage our DSL expertise, test functionality inherent in ADSL2+ and VDSL2 standard-compliant solutions and relationships with certain semiconductor suppliers. We sell to automated test equipment manufacturers, network equipment manufacturers and service providers. We sell primarily through OEMs which enables us to gain broad exposure to growth in spending by phone companies on DSL test and diagnostics solutions. We also sell directly to phone companies.</w:t>
      </w:r>
    </w:p>
    <w:p>
      <w:pPr>
        <w:spacing w:after="0" w:line="2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Develop intellectual property for signal processing and communications applications. </w:t>
      </w:r>
      <w:r>
        <w:rPr>
          <w:rFonts w:ascii="Arial" w:cs="Arial" w:eastAsia="Arial" w:hAnsi="Arial"/>
          <w:sz w:val="17"/>
          <w:szCs w:val="17"/>
          <w:color w:val="auto"/>
        </w:rPr>
        <w:t>Over the past 20 years, we have developed a broad portfolio of</w:t>
      </w:r>
      <w:r>
        <w:rPr>
          <w:rFonts w:ascii="Arial" w:cs="Arial" w:eastAsia="Arial" w:hAnsi="Arial"/>
          <w:sz w:val="17"/>
          <w:szCs w:val="17"/>
          <w:i w:val="1"/>
          <w:iCs w:val="1"/>
          <w:color w:val="auto"/>
        </w:rPr>
        <w:t xml:space="preserve"> </w:t>
      </w:r>
      <w:r>
        <w:rPr>
          <w:rFonts w:ascii="Arial" w:cs="Arial" w:eastAsia="Arial" w:hAnsi="Arial"/>
          <w:sz w:val="17"/>
          <w:szCs w:val="17"/>
          <w:color w:val="auto"/>
        </w:rPr>
        <w:t>intellectual property assets including trade secrets, copyrighted materials, and US and foreign patents. We have pioneered the development of core technologies for signal processing and communications applications that address various industries, including biometrics and DSL. We actively promote our technologies at certain standards bodies. We are also involved in licensing or selling our patents as a means to commercialize our technology.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research and development activities are focused primarily on improving core technologies in communications and imaging and product developments in DSL test, biometrics and medical imaging.</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biometrics and imaging engineering activities are focused on improving software product functionality and broadening our exposure to biometrics, medical and digital imaging applications. During 2009, we further improved the functionality in our software components for PIV and fingerprint enrollment applications, as well as in our BioSP server-based software platform.</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DSL test and diagnostics engineering activities involve improving the functionality of our DSL test and diagnostics hardware and software products to support phone company requirements for pre-qualifying, monitoring and troubleshooting advanced DSL services, including VDSL2 networks and IPTV deployments. During 2009, we introduced new UDMT hardware modules, new functionality into our Dr. DSL software products, and improvements to our LDP server-based software platform for DSL test and diagnostic applications.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2009, we had an engineering staff of 48 employees, representing 59% of our total employee staff. During the years ended December 31, 2009, 2008, and 2007, research and development expenses charged to operations were $11.9 million, $13.2 million, and $10.9 million, respectively. In addition, because we provide engineering development services to our customers, a portion of our total engineering costs has been allocated to cost of contract revenue. We expect that we will continue to invest substantial funds in research and development activities.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principal sales and marketing strategy is to sell to OEMs and systems integrators in the market segments we are targeting. We license and sell our biometrics and digital imaging software products and provide professional services primarily to OEMs and systems integrators and, to a lesser extent, to government agencies. We license and/or sell DSL test and diagnostics hardware and software products primarily to OEM customers, and also to service providers. We believe that decisions involving the selection of our technology and products are frequently made at senior levels within a prospective customer’s organization. Consequently, we often rely on presentations by our senior management to key employees at prospective customers.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t>As of December 31, 2009, there were 9 employees in our biometrics and digital imaging software sales organization, and 4 employees in our DSL test and diagnostics sales and marketing organization.</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Ikanos and Lantiq are selling and/or developing integrated circuits based upon our licensed ADSL2+ technology. Lantiq is also selling and/or developing integrated circuits based upon our licensed VDSL2 technology. We derived approximately 19%, 12%, and 19% of our total revenue from Lantiq/Infineon in 2009, 2008, and 2007, respectively.</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sell and/or license patents to interested parties. In 2008, we derived approximately 28% of our total revenue from Daphimo Co. B.V. LLC (“Daphimo”) for the sale of patents related to communications technology.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test and diagnostics customers that represented more than 10% of our total revenue in 2009 or 2008. In 2007, we derived approximately 16% and 10% of our total revenue from Spirent and Alcatel, respectively.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biometrics customers that represented more than 10% of our total revenue in 2009 or 2007. In 2008, we derived approximately 10% of our total revenue from Technology Management Group, Inc. (“TMG”).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All revenue in 2009, 2008, and 2007 was derived from unaffiliated customers.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markets for our biometrics, medical and digital imaging software products and services are competitive and uncertain. We can give no assurance that the biometrics industry will grow. We can give no assurance that our products and services will succeed in the market. We can give no assurance that we will be able to compete effectively or that competitive pressures will not seriously harm our business.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markets for our DSL test and diagnostics hardware and software products are competitive and uncertain. We can give no assurance that phone companies will purchase significant quantities of products to test and maintain their DSL networks, or that if they do they will use our products. Our success as a supplier of hardware and software products for DSL test and diagnostics depends in large part on the willingness and ability of OEM customers to design, build and sell automated test heads, hand-held testers, and DSLAMs that incorporate or work with our products. Our success also depends upon our ability to market and sell to service providers.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DSL, biometrics, and medical and digital imaging customers and/or their competitors have significantly greater financial, technological, manufacturing, marketing and personnel resources than we do. We can give no assurance that our OEM customers will continue to purchase products from us or that we will be able to compete effectively or that competitive pressures will not seriously harm our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Intellectual Property</w:t>
      </w:r>
    </w:p>
    <w:p>
      <w:pPr>
        <w:spacing w:after="0" w:line="256"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We rely on a combination of nondisclosure agreements and other contractual provisions, as well as patent, trademark, trade secret and copyright law to protect our proprietary rights. We have an active program to protect our proprietary technology through the filing of patents. As of December 31, 2009, we had approximately 130 U.S. and foreign patents, and approximately 200 pending patent applications pertaining to telecommunications and signal processing technology, image compression, video compression, audio compression, seismic data compression and optical applications.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have patented certain aspects of our technology, we rely primarily on trade secrets to protect our intellectual property. We attempt to protect our trade secrets and other proprietary information through agreements with our customers, suppliers, employees and consultants, and through security measures. Each of our employees is required to sign a non-disclosure and non-competition agreement. Although we intend to protect our rights vigorously, we cannot assure you that these measures will be successful. In addition, effective intellectual property protection may be unavailable or limited in certain foreign countries.</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Third parties may assert exclusive patent, copyright and other intellectual property rights to technologies that are important to us. In the past, we have received claims from third parties suggesting that we may be obligated to license such intellectual property rights. If we were found to have infringed any third party’s patents, we could be subject to substantial damages or an injunction preventing us from conducting our business.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Manufacturing</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rely on one third party contract manufacturer to assemble and test substantially all of our DSL hardware products. If this company was to terminate its arrangement with us or fail to provide the required capacity and quality on a timely basis, we would be unable to manufacture our products until replacement contract manufacturing services could be obtained. To qualify a new contract manufacturer, familiarize it with our products, quality standards and other requirements, and commence production is a costly and time-consuming process. We cannot assure you that we would be able to establish alternative manufacturing relationships on acceptable terms. Although we make reasonable efforts to ensure that our contract manufacturer performs to our standards, our reliance on a single source limits our control over quality assurance and delivery schedules. Defects in workmanship, unacceptable yields, and manufacturing disruptions and difficulties may impair our ability to manage inventory and cause delays in shipments and cancellation of orders that may adversely affect our relationships with current and prospective customers. As a result, our revenues and operating results may be harmed.</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internal manufacturing capacity is limited to final test and assembly of certain products. Our current manufacturing systems have been adequate to manage current volumes of hardware products. However, our manufacturing systems have not been extensively tested by more complex hardware products or in volumes higher than that of our current volumes. If our manufacturing systems are inadequate or have other problems, our revenues and operating results may be harmed.</w:t>
      </w: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rely on single source suppliers for components and materials used in our DSL hardware products. Our dependence on single source suppliers involves several risks, including limited control over pricing, availability, quality, and delivery schedules. Any delays in delivery of such components or shortages of such components could cause delays in the shipment of our products, which could significantly harm our business. Because of our reliance on these vendors, we may also be subject to increases in component costs. These increases could significantly harm our business. If any one or more of our single source suppliers cease to provide us with sufficient quantities of our components in a timely manner or on terms acceptable to us, we would have to seek alternative sources of supply. We could incur delays while we locate and engage alternative qualified suppliers and we might be unable to engage alternative suppliers on favorable terms. We could incur substantial hardware and software redesign costs if we are required to replace the components. Any such disruption or increased expenses could harm our commercialization efforts and adversely affect our ability to generate revenues.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2009, we employed 82 people, including 48 in engineering, 17 in sales and marketing, 3 in manufacturing and 14 in finance and administration. Of these employees, 78 were based in Massachusetts. None of our employees is represented by a labor union. We consider our employee relations to be good.</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our future success will depend in large part on the service of our technical, sales, marketing and senior management personnel and upon our ability to retain highly qualified technical, sales and marketing and managerial personnel. We cannot assure you that we will be able to retain our key managers and employees or that we will be able to attract and retain additional highly qualified personnel in the future.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Some of the information in this Form 10-K contains forward-looking statements that involve substantial risks and uncertainties. You can identify these statements by forward-looking words such as “may,” “will,” “expect,” “anticipate,” “believe,” “estimate,” “continue” and similar words. You should read statements that contain these words carefully because they: (1) discuss our future expectations; (2) contain projections of our future operating results or financial condition; or (3) state other “forward-looking” information. However, we may not be able to predict future events accurately. The risk factors listed in this section, as well as any cautionary language in this Form 10-K, provide examples of risks, uncertainties and events that may cause our actual results to differ materially from the expectations we describe in our forward-looking statements. You should be aware that the occurrence of any of the events described in these risk factors and elsewhere in this Form 10-K could materially and adversely affect our business. We assume no obligation to update any forward-looking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BUSINESS RISKS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are Unpredictable and May Fluctuate Significantly</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quarterly revenue and operating results are difficult to predict and may fluctuate significantly from quarter-to-quarter due to the unpredictably of our revenue components.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It is difficult for us to make accurate forecasts of product revenues. Product revenues consist of sales of test and diagnostics hardware and software as well as biometrics and medical imaging software. Sales of hardware and software products fluctuate based upon demand by our customers which is difficult to predict. We generally ship customer orders as we receive them, and, therefore, we have no meaningful backlog of product orders. Since our product revenues include the sales of hardware products which typically have lower gross margins than our other sources of revenue, product gross margins and overall profitability are also difficult to predict.</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Contract revenues are also unpredictable. Making accurate predictions of regarding the timing of contract revenues from new and existing customers is difficult.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also difficult for us to make accurate forecasts of royalty revenues. Royalties are typically recognized in the quarter when we receive a report from a customer detailing sales and royalties due from the prior quarter, such as from the shipment of licensed integrated circuits. Royalties depend upon customer revenues which can be affected by factors beyond our ability to control or assess in advance. These factors include our customers’ ability to generate sales and fluctuating sales volumes and prices of products containing our technology.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subject to a variety of risks, which could materially adversely affect quarterly and annual operating results, including:</w:t>
      </w:r>
    </w:p>
    <w:p>
      <w:pPr>
        <w:spacing w:after="0" w:line="252" w:lineRule="exact"/>
        <w:rPr>
          <w:sz w:val="20"/>
          <w:szCs w:val="20"/>
          <w:color w:val="auto"/>
        </w:rPr>
      </w:pPr>
    </w:p>
    <w:p>
      <w:pPr>
        <w:ind w:left="660" w:hanging="38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acceptance of our hardware and software products;</w:t>
      </w:r>
    </w:p>
    <w:p>
      <w:pPr>
        <w:spacing w:after="0" w:line="23" w:lineRule="exact"/>
        <w:rPr>
          <w:rFonts w:ascii="Arial" w:cs="Arial" w:eastAsia="Arial" w:hAnsi="Arial"/>
          <w:sz w:val="18"/>
          <w:szCs w:val="18"/>
          <w:color w:val="auto"/>
        </w:rPr>
      </w:pPr>
    </w:p>
    <w:p>
      <w:pPr>
        <w:ind w:left="660" w:hanging="38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the demand for our hardware and software products;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competitive pressures resulting in lower software or hardware product revenues;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loss of a significant OEM relationship or termination of a professional services project by a customer;</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loss by an OEM customer of a strategic relationship with an equipment company customer;</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announcements or introductions of new technologies or products by us or our competitors;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delays or problems in the introduction or performance of enhancements or of future generations of our technology;</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failures or problems in our hardware or software products;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pricing pressure from our competitors in the markets in which we compete;</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delays in the adoption of new industry standards or changes in market perception of the value of new or existing standards;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personnel changes, particularly those involving engineering, technical, sales and marketing personnel;</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costs associated with protecting our intellectual property;</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that customers could fail to make payments under their agreements with us;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hardware manufacturing issues, including yield problems in our hardware platforms, and inventory buildup and obsolescence;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0" w:name="page11"/>
    <w:bookmarkEnd w:id="10"/>
    <w:p>
      <w:pPr>
        <w:ind w:left="660" w:right="20" w:hanging="382"/>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gross margins may be affected by various factors including, but not limited to, product mix, product life cycle, and provisions for excess and obsolete inventory;</w:t>
      </w:r>
    </w:p>
    <w:p>
      <w:pPr>
        <w:spacing w:after="0" w:line="1" w:lineRule="exact"/>
        <w:rPr>
          <w:rFonts w:ascii="Arial" w:cs="Arial" w:eastAsia="Arial" w:hAnsi="Arial"/>
          <w:sz w:val="18"/>
          <w:szCs w:val="18"/>
          <w:color w:val="auto"/>
        </w:rPr>
      </w:pPr>
    </w:p>
    <w:p>
      <w:pPr>
        <w:ind w:left="660" w:hanging="38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laws, changes to existing laws, or regulatory developments; and</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trends and other factors.</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a result of these factors, we believe that period-to-period comparisons of our revenue levels and operating results are not necessarily meaningful. You should not rely on our quarterly revenue and operating results to predict our future performance.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Net Losses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We had net losses in 2001, 2002, 2003, 2004, and 2005, and operating losses in 2006, 2007, and 2009. We may experience losses in the future if:</w:t>
      </w:r>
    </w:p>
    <w:p>
      <w:pPr>
        <w:spacing w:after="0" w:line="264" w:lineRule="exact"/>
        <w:rPr>
          <w:sz w:val="20"/>
          <w:szCs w:val="20"/>
          <w:color w:val="auto"/>
        </w:rPr>
      </w:pPr>
    </w:p>
    <w:p>
      <w:pPr>
        <w:ind w:left="660" w:hanging="38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test and diagnostics or biometrics markets decline;</w:t>
      </w:r>
    </w:p>
    <w:p>
      <w:pPr>
        <w:spacing w:after="0" w:line="23" w:lineRule="exact"/>
        <w:rPr>
          <w:rFonts w:ascii="Arial" w:cs="Arial" w:eastAsia="Arial" w:hAnsi="Arial"/>
          <w:sz w:val="18"/>
          <w:szCs w:val="18"/>
          <w:color w:val="auto"/>
        </w:rPr>
      </w:pPr>
    </w:p>
    <w:p>
      <w:pPr>
        <w:ind w:left="660" w:hanging="38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and/or existing customers do not choose to use our software or hardware products; or</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customers do not choose to license and/or buy our patents.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Rapid Technological Change</w:t>
      </w:r>
    </w:p>
    <w:p>
      <w:pPr>
        <w:spacing w:after="0" w:line="252"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telecommunications and biometrics industries are characterized by rapid technological change and uncertainty. In these industries, new generations of products are introduced regularly and evolutionary improvements to existing products are required. Therefore, we face risks that others could introduce competing technologies that render our technologies and products less desirable or obsolete. Also, the announcement of new technologies could cause: i) our customers to delay purchasing our products; or ii) our customers’ customers to delay purchasing OEM products that incorporate our products. Either of these events could seriously harm our business.</w:t>
      </w:r>
    </w:p>
    <w:p>
      <w:pPr>
        <w:spacing w:after="0" w:line="215"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We expect that our business will depend to a significant extent on our ability to introduce new generations of products as well as new technologies and products that keep pace with changes in these industries. We must continually devote significant engineering resources to achieving technical innovations and product developments. These developments are complex and require long development cycles. Moreover, we may have to make substantial investments in technological innovations and product developments before we can determine their commercial viability. We may lack sufficient financial resources to fund future development. Revenue from technological innovations, even if successfully developed, may not be sufficient to recoup the costs of development.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Intellectual Property is Subject to Limited Protection</w:t>
      </w:r>
    </w:p>
    <w:p>
      <w:pPr>
        <w:spacing w:after="0" w:line="252"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Because we are a technology provider, our ability to protect our intellectual property and to operate without infringing the intellectual property rights of others is critical to our success. We regard our technology as proprietary. Our patent portfolio includes approximately 130 U.S. and foreign patents as well as approximately 200 pending patent applications. We also rely on a combination of trade secrets, copyright and trademark law and non-disclosure agreements to protect our unpatented intellectual property. Despite these precautions, it may be possible for a third party to copy or otherwise obtain and use our technology without authorization.</w:t>
      </w:r>
    </w:p>
    <w:p>
      <w:pPr>
        <w:spacing w:after="0" w:line="21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We typically work closely with our customers, who may also be potential competitors, and provide them with proprietary know-how. Although our agreements contain non-disclosure provisions and other terms protecting our proprietary know-how and technology rights, it is possible that, despite these precautions, some of our customers might obtain from us proprietary information that they could use to compete with us in the marketplace. Although we intend to defend our intellectual property as necessary, the steps we have taken may be inadequate to prevent misappropriation.</w:t>
      </w:r>
    </w:p>
    <w:p>
      <w:pPr>
        <w:spacing w:after="0" w:line="19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the future, we may be involved in legal action to enforce our intellectual property rights relating to our patents, copyrights or trade secrets. Any such litigation could be costly and time-consuming for us, even if we were to prevail. Moreover, even if we are successful in protecting our proprietary information, our competitors may independently develop technologies substantially equivalent or superior to our technology. The misappropriation of our technology or the development of competitive technology could seriously harm our business.</w:t>
      </w: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611" w:right="219" w:bottom="1440" w:gutter="0" w:footer="0" w:header="0"/>
        </w:sectPr>
      </w:pPr>
    </w:p>
    <w:bookmarkStart w:id="11" w:name="page12"/>
    <w:bookmarkEnd w:id="11"/>
    <w:p>
      <w:pPr>
        <w:jc w:val="both"/>
        <w:spacing w:after="0" w:line="255" w:lineRule="auto"/>
        <w:rPr>
          <w:sz w:val="20"/>
          <w:szCs w:val="20"/>
          <w:color w:val="auto"/>
        </w:rPr>
      </w:pPr>
      <w:r>
        <w:rPr>
          <w:rFonts w:ascii="Arial" w:cs="Arial" w:eastAsia="Arial" w:hAnsi="Arial"/>
          <w:sz w:val="18"/>
          <w:szCs w:val="18"/>
          <w:color w:val="auto"/>
        </w:rPr>
        <w:t>Our technology, software or hardware may infringe the intellectual property rights of others. A large and increasing number of participants in the telecommunications and compression industries have applied for or obtained patents. Some of these patent holders have demonstrated a readiness to commence litigation based on allegations of patent and other intellectual property infringement. Third parties may assert patent, copyright and other intellectual property rights to technologies that are important to our business. In the past, we have received claims from other companies that our technology infringes their patent rights. Intellectual property rights can be uncertain and can involve complex legal and factual questions. We may infringe the proprietary rights of others, which could result in significant liability for us. If we were found to have infringed any third party’s patents, we could be subject to substantial damages or an injunction preventing us from conducting our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Affected by Government Regulations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extensive regulation of the telecommunications industry by federal, state and foreign regulatory agencies, including the Federal Communications Commission, and various state public utility and service commissions, could affect us through the effects of such regulation on our customers and their customers. In addition, our business may also be affected by the imposition of certain tariffs, duties and other import restrictions on components that our customers obtain from non-domestic suppliers or by the imposition of export restrictions on products sold internationally and incorporating our technology. Changes in current or future laws or regulations, in the United States or elsewhere, could seriously harm our business.</w:t>
      </w:r>
    </w:p>
    <w:p>
      <w:pPr>
        <w:spacing w:after="0" w:line="20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Current Economic Conditions, Including The Credit Crisis Affecting The Financial Markets And The Global Recession, Could Adversely Affect Our Business, Results Of Operations And Financial Condition</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Over the past several years, the world’s financial markets have been experiencing turmoil, characterized by reductions in available credit, increased costs of credit, volatility in security prices, rating downgrades of investments and reduced valuations of securities generally. These events have materially and adversely impacted the availability of financing to a wide variety of businesses, and the resulting uncertainty has led to reductions in capital investments, overall spending levels, future product plans, and sales projections across industries and markets. These trends could have a material adverse impact on our business, our ability to achieve targeted results of operations and our financial condition as a result of:</w:t>
      </w:r>
    </w:p>
    <w:p>
      <w:pPr>
        <w:spacing w:after="0" w:line="200" w:lineRule="exact"/>
        <w:rPr>
          <w:sz w:val="20"/>
          <w:szCs w:val="20"/>
          <w:color w:val="auto"/>
        </w:rPr>
      </w:pPr>
    </w:p>
    <w:p>
      <w:pPr>
        <w:ind w:left="660" w:hanging="38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reduced demand for our products or our customers’ products that incorporate our technology;</w:t>
      </w:r>
    </w:p>
    <w:p>
      <w:pPr>
        <w:spacing w:after="0" w:line="23" w:lineRule="exact"/>
        <w:rPr>
          <w:rFonts w:ascii="Arial" w:cs="Arial" w:eastAsia="Arial" w:hAnsi="Arial"/>
          <w:sz w:val="18"/>
          <w:szCs w:val="18"/>
          <w:color w:val="auto"/>
        </w:rPr>
      </w:pPr>
    </w:p>
    <w:p>
      <w:pPr>
        <w:ind w:left="660" w:hanging="38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risk of order cancellations or delays;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pressure on the prices for our products or our customers’ products that incorporate our technology;</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greater difficulty in collecting accounts receivable; and</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to our liquidity, including the possibility that we might not have access to our cash when needed.</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unable to predict the likely duration and severity of disruptions in financial markets and adverse economic conditions in the U.S. and other countries, but the longer the duration, the greater the risks we face in operating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Make Judgments in the Process of Preparing Our Financial Statements</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prepare our financial statements in accordance with generally accepted accounting principles and certain critical accounting policies that are relevant to our business. The application of these principles and policies requires us to make significant judgments and estimates. In the event that judgments and estimates we make are incorrect, we may have to change them, which could materially affect our financial position and results of operations.</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Moreover, accounting standards have been subject to rapid change and evolving interpretations by accounting standards setting organizations over the past few years. The implementation of new standards requires us to interpret and apply them appropriately. If our current interpretations or applications are later found to be incorrect, our financial position and results of operations could be materially affected.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2" w:name="page13"/>
    <w:bookmarkEnd w:id="12"/>
    <w:p>
      <w:pPr>
        <w:ind w:right="760"/>
        <w:spacing w:after="0" w:line="277" w:lineRule="auto"/>
        <w:rPr>
          <w:sz w:val="20"/>
          <w:szCs w:val="20"/>
          <w:color w:val="auto"/>
        </w:rPr>
      </w:pPr>
      <w:r>
        <w:rPr>
          <w:rFonts w:ascii="Arial" w:cs="Arial" w:eastAsia="Arial" w:hAnsi="Arial"/>
          <w:sz w:val="18"/>
          <w:szCs w:val="18"/>
          <w:b w:val="1"/>
          <w:bCs w:val="1"/>
          <w:i w:val="1"/>
          <w:iCs w:val="1"/>
          <w:color w:val="auto"/>
        </w:rPr>
        <w:t>If We are Unable to Maintain Effective Internal Controls Over Financial Reporting, Investors Could Lose Confidence In The Reliability of Our Financial Statements, Which Could Result In a Decline in the Price of Our Common Stock</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a public company, we are required to enhance and test our financial, internal and management control systems to meet obligations imposed by the Sarbanes-Oxley Act of 2002. Consistent with the Sarbanes-Oxley Act and the rules and regulations of the SEC, management’s assessment of our internal controls over financial reporting and the audit opinion of our independent registered accounting firm as to the effectiveness of our controls is required in connection with our filing of our Annual Report on Form 10-K. If we are unable to identify, implement and conclude that we have effective internal controls over financial reporting or if our independent auditors are unable to conclude that our internal controls over financial reporting are effective, investors could lose confidence in the reliability of our financial statements, which could result in a decrease in the value of our common stock. Our assessment of our internal controls over financial reporting may also uncover weaknesses or other issues with these controls that could also result in adverse investor reaction.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Extremely Volatile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Volatility in our stock price may negatively affect the price you may receive for your shares of common stock and increases the risk that we could be the subject of costly securities litigation. The market price of our common stock has fluctuated substantially and could continue to fluctuate based on a variety of factors, including:</w:t>
      </w:r>
    </w:p>
    <w:p>
      <w:pPr>
        <w:spacing w:after="0" w:line="208" w:lineRule="exact"/>
        <w:rPr>
          <w:sz w:val="20"/>
          <w:szCs w:val="20"/>
          <w:color w:val="auto"/>
        </w:rPr>
      </w:pPr>
    </w:p>
    <w:p>
      <w:pPr>
        <w:ind w:left="660" w:hanging="38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quarterly fluctuations in our operating results;</w:t>
      </w:r>
    </w:p>
    <w:p>
      <w:pPr>
        <w:spacing w:after="0" w:line="23" w:lineRule="exact"/>
        <w:rPr>
          <w:rFonts w:ascii="Arial" w:cs="Arial" w:eastAsia="Arial" w:hAnsi="Arial"/>
          <w:sz w:val="18"/>
          <w:szCs w:val="18"/>
          <w:color w:val="auto"/>
        </w:rPr>
      </w:pPr>
    </w:p>
    <w:p>
      <w:pPr>
        <w:ind w:left="660" w:hanging="38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future financial guidance that we may provide to investors and public market analysts;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our relationships with our customers;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our customers or our competitors;</w:t>
      </w:r>
    </w:p>
    <w:p>
      <w:pPr>
        <w:spacing w:after="0" w:line="9" w:lineRule="exact"/>
        <w:rPr>
          <w:rFonts w:ascii="Arial" w:cs="Arial" w:eastAsia="Arial" w:hAnsi="Arial"/>
          <w:sz w:val="18"/>
          <w:szCs w:val="18"/>
          <w:color w:val="auto"/>
        </w:rPr>
      </w:pPr>
    </w:p>
    <w:p>
      <w:pPr>
        <w:ind w:left="660" w:hanging="382"/>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DSL or biometrics market growth rates as well as investor perceptions regarding the investment opportunity that companies participating in the DSL or biometrics industry afford them;</w:t>
      </w:r>
    </w:p>
    <w:p>
      <w:pPr>
        <w:ind w:left="660" w:hanging="38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earnings estimates by public market analysts;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key personnel losses;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of our common stock;</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stock repurchase activities; and</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developments or announcements with respect to industry standards, patents or proprietary rights.</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equity markets have experienced volatility that has particularly affected the market prices of equity securities of many high technology companies and that often has been unrelated or disproportionate to the operating performance of such companies. These broad market fluctuations may adversely affect the market price of our common stock.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LICENSING PRODUCT LINE RISKS</w:t>
      </w:r>
    </w:p>
    <w:p>
      <w:pPr>
        <w:spacing w:after="0" w:line="256" w:lineRule="exact"/>
        <w:rPr>
          <w:sz w:val="20"/>
          <w:szCs w:val="20"/>
          <w:color w:val="auto"/>
        </w:rPr>
      </w:pPr>
    </w:p>
    <w:p>
      <w:pPr>
        <w:ind w:right="1200"/>
        <w:spacing w:after="0" w:line="277" w:lineRule="auto"/>
        <w:rPr>
          <w:sz w:val="20"/>
          <w:szCs w:val="20"/>
          <w:color w:val="auto"/>
        </w:rPr>
      </w:pPr>
      <w:r>
        <w:rPr>
          <w:rFonts w:ascii="Arial" w:cs="Arial" w:eastAsia="Arial" w:hAnsi="Arial"/>
          <w:sz w:val="18"/>
          <w:szCs w:val="18"/>
          <w:b w:val="1"/>
          <w:bCs w:val="1"/>
          <w:i w:val="1"/>
          <w:iCs w:val="1"/>
          <w:color w:val="auto"/>
        </w:rPr>
        <w:t>We Sold Substantially All of the Assets of Our DSL Silicon IP Licensing Product Line, And This Product Line Will No Longer Contribute Meaningful Contract Revenues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2009, we sold substantially all of the assets associated with our DSL and home networking licensing product line to Lantiq for $6.75 million. Lantiq is a newly formed fabless semiconductor company that was spun out of Infineon. Prior to the spinout, Infineon was our largest DSL licensing customer. The sale included: i) our DSL and home networking technology products; ii) certain patents and patent applications related to these technologies; and iii) a group of 41 engineers and the equipment used by those engineers.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the sale, we will no longer license DSL silicon technology to semiconductor customers for the foreseeable future, nor are we deriving DSL contract revenue from Infineon or Lantiq. In 2009, 2008, and 2007, we derived approximately 19%, 12% and 19% of our total revenue from Infineon/Lantiq, including contract revenue and royalties.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3" w:name="page14"/>
    <w:bookmarkEnd w:id="13"/>
    <w:p>
      <w:pPr>
        <w:ind w:right="280"/>
        <w:spacing w:after="0" w:line="277" w:lineRule="auto"/>
        <w:rPr>
          <w:sz w:val="20"/>
          <w:szCs w:val="20"/>
          <w:color w:val="auto"/>
        </w:rPr>
      </w:pPr>
      <w:r>
        <w:rPr>
          <w:rFonts w:ascii="Arial" w:cs="Arial" w:eastAsia="Arial" w:hAnsi="Arial"/>
          <w:sz w:val="18"/>
          <w:szCs w:val="18"/>
          <w:b w:val="1"/>
          <w:bCs w:val="1"/>
          <w:i w:val="1"/>
          <w:iCs w:val="1"/>
          <w:color w:val="auto"/>
        </w:rPr>
        <w:t>We Expect to Continue to Receive Royalty Revenues After the Sale to Lantiq; However Future Royalty Revenue May Decline Because of Factors That Are Beyond Our Control</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terms of our amended license with Lantiq, we expect to continue to receive royalties for DSL chipsets Lantiq sells. We also expect to continue to derive royalties and a minimal amount of contract revenue from Ikanos as our agreement with Ikanos remains in effect after the sale to Lantiq. Future royalties we may receive from Lantiq and Ikanos are influenced by factors that are beyond our control, including:</w:t>
      </w:r>
    </w:p>
    <w:p>
      <w:pPr>
        <w:spacing w:after="0" w:line="208" w:lineRule="exact"/>
        <w:rPr>
          <w:sz w:val="20"/>
          <w:szCs w:val="20"/>
          <w:color w:val="auto"/>
        </w:rPr>
      </w:pPr>
    </w:p>
    <w:p>
      <w:pPr>
        <w:ind w:left="660" w:hanging="382"/>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competitiveness of DSL chipsets offered by Lantiq and Ikanos and the willingness of their customers to purchase DSL chipsets from them;</w:t>
      </w:r>
    </w:p>
    <w:p>
      <w:pPr>
        <w:spacing w:after="0" w:line="34" w:lineRule="exact"/>
        <w:rPr>
          <w:rFonts w:ascii="Arial" w:cs="Arial" w:eastAsia="Arial" w:hAnsi="Arial"/>
          <w:sz w:val="17"/>
          <w:szCs w:val="17"/>
          <w:color w:val="auto"/>
        </w:rPr>
      </w:pPr>
    </w:p>
    <w:p>
      <w:pPr>
        <w:ind w:left="660" w:hanging="38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promotional and marketing efforts of Lantiq and Ikanos; and</w:t>
      </w:r>
    </w:p>
    <w:p>
      <w:pPr>
        <w:spacing w:after="0" w:line="9" w:lineRule="exact"/>
        <w:rPr>
          <w:rFonts w:ascii="Arial" w:cs="Arial" w:eastAsia="Arial" w:hAnsi="Arial"/>
          <w:sz w:val="18"/>
          <w:szCs w:val="18"/>
          <w:color w:val="auto"/>
        </w:rPr>
      </w:pPr>
    </w:p>
    <w:p>
      <w:pPr>
        <w:ind w:left="660" w:hanging="382"/>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DSL market risks in general, including: i) industry wide chipset demand; and ii) competitive pressures and cyclical demand for DSL chipsets, which may result in reduced average selling prices and channel inventory build-up.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Any or all of these factors may cause our royalty revenue to decline in the future.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Obtain, Sell, License, or Enforce Patents Could be Affected by New Laws, Regulations or Rules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intend to continue to pursue the license, sale or enforcement of patents in our patent portfolio. Our patent portfolio includes approximately 130 U.S. and foreign patents as well as approximately 200 pending patent applications. We also have an active program to protect our proprietary technology through the filing of additional patents. New laws, regulations or rules implemented either by Congress, the United States Patent and Trademark Office, foreign patent offices, or the courts that impact the patent application process, the patent enforcement process or the rights of patent holders could significantly increase our expenses related to patent prosecution or decrease revenues associated with our patents. While we are not aware that any such changes are likely to occur in the foreseeable future, we cannot assure you that such changes will not occur.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BIOMETRICS PRODUCT LINE RISKS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Biometrics Product Line Faces Intense Competition</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markets for our biometrics products and services are competitive and uncertain. Many of our biometric software competitors have significantly greater financial, technological, marketing and personnel resources than we do. We also face intense competition from internal development teams within potential customers. We must convince potential customers to purchase products and services from us rather than develop software or perform services internally. Furthermore, customers, who have already purchased from us, may choose to stop purchasing our software and develop their own software.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addition, announcements or introductions of new technologies or products by our competitors may adversely affect our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Biometrics Software Business Risks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biometrics software business is subject to a variety of additional risks, which could materially adversely affect our revenue and operating results, including:</w:t>
      </w:r>
    </w:p>
    <w:p>
      <w:pPr>
        <w:spacing w:after="0" w:line="197" w:lineRule="exact"/>
        <w:rPr>
          <w:sz w:val="20"/>
          <w:szCs w:val="20"/>
          <w:color w:val="auto"/>
        </w:rPr>
      </w:pPr>
    </w:p>
    <w:p>
      <w:pPr>
        <w:ind w:left="660" w:hanging="38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acceptance of our biometric technologies and products;</w:t>
      </w:r>
    </w:p>
    <w:p>
      <w:pPr>
        <w:spacing w:after="0" w:line="23" w:lineRule="exact"/>
        <w:rPr>
          <w:rFonts w:ascii="Arial" w:cs="Arial" w:eastAsia="Arial" w:hAnsi="Arial"/>
          <w:sz w:val="18"/>
          <w:szCs w:val="18"/>
          <w:color w:val="auto"/>
        </w:rPr>
      </w:pPr>
    </w:p>
    <w:p>
      <w:pPr>
        <w:ind w:left="660" w:hanging="38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contracting practices of government or law enforcement agencies;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failure of the biometrics market to experience continued growth;</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or problems in the introduction or performance of enhancements or of future generations of our technology;</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failures or problems in our biometric software products;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the adoption of new industry biometric standards or changes in market perception of the value of new or existing standards;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4" w:name="page15"/>
    <w:bookmarkEnd w:id="14"/>
    <w:p>
      <w:pPr>
        <w:ind w:left="660" w:hanging="38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growth of proprietary biometric systems which do not conform to industry standards;</w:t>
      </w:r>
    </w:p>
    <w:p>
      <w:pPr>
        <w:spacing w:after="0" w:line="23" w:lineRule="exact"/>
        <w:rPr>
          <w:rFonts w:ascii="Arial" w:cs="Arial" w:eastAsia="Arial" w:hAnsi="Arial"/>
          <w:sz w:val="18"/>
          <w:szCs w:val="18"/>
          <w:color w:val="auto"/>
        </w:rPr>
      </w:pPr>
    </w:p>
    <w:p>
      <w:pPr>
        <w:ind w:left="660" w:hanging="38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competitive pressures resulting in lower software product revenues;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personnel changes, particularly those involving engineering, technical and sales and marketing personnel;</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associated with protecting our intellectual property;</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litigation by third parties for alleged infringement of their proprietary rights;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that customers could fail to make payments under their current contracts;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laws, changes to existing laws, or regulatory developments; and</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trends and other factors.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Biometrics Professional Services Business Risks</w:t>
      </w:r>
    </w:p>
    <w:p>
      <w:pPr>
        <w:spacing w:after="0" w:line="252" w:lineRule="exact"/>
        <w:rPr>
          <w:sz w:val="20"/>
          <w:szCs w:val="20"/>
          <w:color w:val="auto"/>
        </w:rPr>
      </w:pPr>
    </w:p>
    <w:p>
      <w:pPr>
        <w:ind w:firstLine="75"/>
        <w:spacing w:after="0" w:line="277" w:lineRule="auto"/>
        <w:rPr>
          <w:sz w:val="20"/>
          <w:szCs w:val="20"/>
          <w:color w:val="auto"/>
        </w:rPr>
      </w:pPr>
      <w:r>
        <w:rPr>
          <w:rFonts w:ascii="Arial" w:cs="Arial" w:eastAsia="Arial" w:hAnsi="Arial"/>
          <w:sz w:val="18"/>
          <w:szCs w:val="18"/>
          <w:color w:val="auto"/>
        </w:rPr>
        <w:t>Our biometrics professional services business is subject to additional risks, which could materially adversely affect our revenue and operating results, including:</w:t>
      </w:r>
    </w:p>
    <w:p>
      <w:pPr>
        <w:spacing w:after="0" w:line="197" w:lineRule="exact"/>
        <w:rPr>
          <w:sz w:val="20"/>
          <w:szCs w:val="20"/>
          <w:color w:val="auto"/>
        </w:rPr>
      </w:pPr>
    </w:p>
    <w:p>
      <w:pPr>
        <w:ind w:left="660" w:hanging="38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structure and price technology contracts in a manner that is consistent with our business model;</w:t>
      </w:r>
    </w:p>
    <w:p>
      <w:pPr>
        <w:spacing w:after="0" w:line="23" w:lineRule="exact"/>
        <w:rPr>
          <w:rFonts w:ascii="Arial" w:cs="Arial" w:eastAsia="Arial" w:hAnsi="Arial"/>
          <w:sz w:val="18"/>
          <w:szCs w:val="18"/>
          <w:color w:val="auto"/>
        </w:rPr>
      </w:pPr>
    </w:p>
    <w:p>
      <w:pPr>
        <w:ind w:left="660" w:right="20" w:hanging="382"/>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structure ourselves to successfully bid on U.S. government contracts and meet the requirements of U.S. contracting rules and regulations;</w:t>
      </w:r>
    </w:p>
    <w:p>
      <w:pPr>
        <w:ind w:left="660" w:hanging="382"/>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deliver contract milestones: i) in a timely and cost efficient manner, and ii) in a form and condition acceptable to customers;</w:t>
      </w:r>
    </w:p>
    <w:p>
      <w:pPr>
        <w:spacing w:after="0" w:line="20" w:lineRule="exact"/>
        <w:rPr>
          <w:rFonts w:ascii="Arial" w:cs="Arial" w:eastAsia="Arial" w:hAnsi="Arial"/>
          <w:sz w:val="17"/>
          <w:szCs w:val="17"/>
          <w:color w:val="auto"/>
        </w:rPr>
      </w:pPr>
    </w:p>
    <w:p>
      <w:pPr>
        <w:ind w:left="660" w:hanging="38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 that customers could terminate projects;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 that we rely substantially on third party contractors and consultants to deliver certain contract milestones; and</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that customers could fail to make payments under their contracts.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TEST &amp; DIAGNOSTIC PRODUCT LINE RISKS</w:t>
      </w:r>
    </w:p>
    <w:p>
      <w:pPr>
        <w:spacing w:after="0" w:line="25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Our DSL Test and Diagnostics Business Depends Upon a Limited Number of Customers, Therefore We Derive Revenue from a Small Number of Customers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are a relatively limited number of OEM suppliers and service providers to which we can sell our DSL test and diagnostics products in a manner consistent with our business model. In 2007, we derived approximately 16% and 10% of our total revenue from Spirent and Alcatel, both of which are test and diagnostics customers. No single test and diagnostics customer represented more than 10% of our total revenue in 2008 and 2009, although Spirent and Alcatel contributed significant revenue to our test and diagnostics business in those years.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fail to maintain relationships with our current customers or fail to establish a sufficient number of new customer relationships, our business could be seriously harmed. In addition, our current and prospective customers may use their superior size and bargaining power to demand terms that are unfavorable to us.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DSL Test and Diagnostics Business Faces Intense Competition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markets for our DSL test and diagnostics hardware and software products are competitive and uncertain. Our success as a supplier of hardware and software products for DSL test and diagnostics depends in large part on:</w:t>
      </w:r>
    </w:p>
    <w:p>
      <w:pPr>
        <w:spacing w:after="0" w:line="197" w:lineRule="exact"/>
        <w:rPr>
          <w:sz w:val="20"/>
          <w:szCs w:val="20"/>
          <w:color w:val="auto"/>
        </w:rPr>
      </w:pPr>
    </w:p>
    <w:p>
      <w:pPr>
        <w:ind w:left="660" w:hanging="382"/>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willingness and ability of OEM customers to design, build and sell automated test heads, hand-held testers, and DSLAMs that incorporate or work with our products;</w:t>
      </w:r>
    </w:p>
    <w:p>
      <w:pPr>
        <w:spacing w:after="0" w:line="1" w:lineRule="exact"/>
        <w:rPr>
          <w:rFonts w:ascii="Arial" w:cs="Arial" w:eastAsia="Arial" w:hAnsi="Arial"/>
          <w:sz w:val="18"/>
          <w:szCs w:val="18"/>
          <w:color w:val="auto"/>
        </w:rPr>
      </w:pPr>
    </w:p>
    <w:p>
      <w:pPr>
        <w:ind w:left="660" w:hanging="38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market and sell to service providers; and</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provide effective sales, marketing, and customer service to our customers.</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OEM customers, their competitors and service providers have significantly greater financial, technological, manufacturing, marketing and personnel resources than we do. We can give no assurance that our customers will continue to purchase products from us or that we will be able to compete effectively or that competitive pressures will not seriously harm our business.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The Success of Our DSL Test and Diagnostics Business Requires Telephone Companies to Install DSL Services in Volume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success of our DSL test and diagnostics business depends upon telephone companies installing DSL services in significant volumes. Moreover, our business depends on capital equipment spending by telephone companies. If telephone companies reduce their budgets for or decide not to install or utilize equipment dedicated to DSL service or test infrastructure, our test and diagnostics business could be harmed.</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DSL services offered over telephone networks also compete with alternative broadband services that use other broadband network architectures, such as cable networks, fiber-to-the-home networks, and wireless networks. These alternative broadband networks may be more successful than DSL. If telephone companies cannot compete effectively with alternative broadband services our test and diagnostics business could be harmed.</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Success of Our DSL Test and Diagnostics Products Depends On Our Ability to Develop Commercially Available Products in a Timely Fashion</w:t>
      </w:r>
    </w:p>
    <w:p>
      <w:pPr>
        <w:spacing w:after="0" w:line="2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success in developing and introducing, new and enhanced test and diagnostics products depends on the ability of our engineering organization to design and develop such products. Because of the complexity of our hardware and software products, it may take us a significant amount of time to develop commercially available products. If we cannot successfully develop and introduce new and enhanced test and diagnostics products on a timely basis, our DSL test and diagnostics business could be seriously harmed.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Test and Diagnostics Hardware and Software Products Have Quality Problems, Our Business Could Be Harmed</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our test and diagnostics products have actual or perceived reliability, quality, functionality or other problems, we may suffer reduced orders, higher manufacturing costs, inability to recognize revenue, delays in collecting accounts receivable and higher service, support and warranty expenses or inventory write-offs, among other effects. We believe that the acceptance, volume production, timely delivery and customer satisfaction of our test and diagnostics products is important to our future financial results. As a result, any inability to correct any technical, reliability, parts shortages or other difficulties or to manufacture and ship our test and diagnostics products on a timely basis meeting customer requirements could damage our relationships and reputation with current and prospective customers, which would harm our revenues and operating results. Any product problems that may require repair or replacement may adversely affect our customer and/or vendor relationships and have an impact on support costs, warranty reserves, or inventory reserves, among other effects.</w:t>
      </w:r>
    </w:p>
    <w:p>
      <w:pPr>
        <w:spacing w:after="0" w:line="1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are Dependent On a Single Source Contract Manufacturer for the Manufacture of Our DSL Hardware Products, the Loss of Which Would Harm Our Business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currently depend on one contract manufacturer to manufacture our DSL hardware products. If this company was to terminate its arrangement with us or fail to provide the required capacity and quality on a timely basis, we would be unable to manufacture our products until replacement contract manufacturing services could be obtained. To qualify a new contract manufacturer, familiarize it with our products, quality standards and other requirements, and commence production is a costly and time-consuming process. We cannot assure you that we would be able to establish alternative manufacturing relationships on acceptable terms. Although we make reasonable efforts to ensure that our contract manufacturer performs to our standards, our reliance on a single source limits our control over quality assurance and delivery schedules. Defects in workmanship, inadequate yields, and manufacturing disruptions and difficulties may impair our ability to manage inventory and cause delays in shipments and cancellation of orders that may adversely affect our relationships with current and prospective customers. As a result, our test and diagnostics business could be harmed.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Manufacturing Systems May Not Be Adequate For Our DSL Test and Diagnostics Hardware Product Offerings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manufacturing systems have been adequate to manage current product configurations and production volumes. However, our manufacturing systems have not been tested by more complex hardware products or by production volumes higher than current levels. If our manufacturing systems are inadequate or have other problems, our test and diagnostics business could be harmed.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We are Dependent on Single Source Suppliers for Components in Our DSL Hardware Products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rely on single source suppliers for components and materials used in our DSL hardware products. Our dependence on single source suppliers involves several risks, including limited control over pricing, availability, quality, and delivery schedules. Any delays in delivery of such components or shortages of such components could cause delays in the shipment of our products, which could significantly harm our business. Because of our reliance on these vendors, we may also be subject to increases in component costs. These increases could significantly harm our business.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any one or more of our single source suppliers cease to provide us with sufficient quantities of our components in a timely manner or on terms acceptable to us, we would have to seek alternative sources of supply. We could incur delays while we locate and engage alternative qualified suppliers and we might be unable to engage alternative suppliers on favorable terms. We could incur substantial hardware and software redesign costs if we are required to replace the components. Any such disruption or increased expenses could harm our business.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believe that our existing facilities are adequate for our current needs and that additional space sufficient to meet our needs for the foreseeable future will be available on reasonable terms. We currently occupy approximately:</w:t>
      </w:r>
    </w:p>
    <w:p>
      <w:pPr>
        <w:spacing w:after="0" w:line="197" w:lineRule="exact"/>
        <w:rPr>
          <w:sz w:val="20"/>
          <w:szCs w:val="20"/>
          <w:color w:val="auto"/>
        </w:rPr>
      </w:pPr>
    </w:p>
    <w:p>
      <w:pPr>
        <w:ind w:left="46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72,000 square feet of office space in Bedford, Massachusetts, which serves as our headquarters. This site is used for our research and development, sales and marketing, and administrative activities. We own this facility.</w:t>
      </w:r>
    </w:p>
    <w:p>
      <w:pPr>
        <w:spacing w:after="0" w:line="197"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411 square feet of research and development space in Orinda, California. This facility is currently leased for a 3-year term, which expires on August 31, 2010.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From time to time we are involved in litigation incidental to the conduct of our business. We are not party to any lawsuit or proceeding that, in our opinion, is likely to seriously harm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matters submitted to a vote of security holders during the fourth quarter ended December 31, 2009.</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common stock is the only class of stock we have outstanding, and it trades on the Nasdaq Global Market under the symbol AWRE. The following table sets forth the high and the low sales prices of our common stock as reported on the Nasdaq Global Market for the periods indicated from January 1, 2008 to December 31, 2009.</w:t>
      </w:r>
    </w:p>
    <w:p>
      <w:pPr>
        <w:spacing w:after="0" w:line="204"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First</w:t>
            </w:r>
          </w:p>
        </w:tc>
        <w:tc>
          <w:tcPr>
            <w:tcW w:w="160" w:type="dxa"/>
            <w:vAlign w:val="bottom"/>
          </w:tcPr>
          <w:p>
            <w:pPr>
              <w:spacing w:after="0"/>
              <w:rPr>
                <w:sz w:val="18"/>
                <w:szCs w:val="18"/>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w w:val="89"/>
              </w:rPr>
              <w:t>Second</w:t>
            </w:r>
          </w:p>
        </w:tc>
        <w:tc>
          <w:tcPr>
            <w:tcW w:w="180" w:type="dxa"/>
            <w:vAlign w:val="bottom"/>
          </w:tcPr>
          <w:p>
            <w:pPr>
              <w:spacing w:after="0"/>
              <w:rPr>
                <w:sz w:val="18"/>
                <w:szCs w:val="18"/>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b w:val="1"/>
                <w:bCs w:val="1"/>
                <w:color w:val="auto"/>
              </w:rPr>
              <w:t>Third</w:t>
            </w:r>
          </w:p>
        </w:tc>
        <w:tc>
          <w:tcPr>
            <w:tcW w:w="200" w:type="dxa"/>
            <w:vAlign w:val="bottom"/>
          </w:tcPr>
          <w:p>
            <w:pPr>
              <w:spacing w:after="0"/>
              <w:rPr>
                <w:sz w:val="18"/>
                <w:szCs w:val="18"/>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Fourth</w:t>
            </w:r>
          </w:p>
        </w:tc>
      </w:tr>
      <w:tr>
        <w:trPr>
          <w:trHeight w:val="241"/>
        </w:trPr>
        <w:tc>
          <w:tcPr>
            <w:tcW w:w="18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Quarter</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5"/>
              </w:rPr>
              <w:t>Quarter</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Quarter</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Quarter</w:t>
            </w:r>
          </w:p>
        </w:tc>
      </w:tr>
      <w:tr>
        <w:trPr>
          <w:trHeight w:val="202"/>
        </w:trPr>
        <w:tc>
          <w:tcPr>
            <w:tcW w:w="1800" w:type="dxa"/>
            <w:vAlign w:val="bottom"/>
          </w:tcPr>
          <w:p>
            <w:pPr>
              <w:ind w:left="160"/>
              <w:spacing w:after="0" w:line="201" w:lineRule="exact"/>
              <w:rPr>
                <w:sz w:val="20"/>
                <w:szCs w:val="20"/>
                <w:color w:val="auto"/>
              </w:rPr>
            </w:pPr>
            <w:r>
              <w:rPr>
                <w:rFonts w:ascii="Arial" w:cs="Arial" w:eastAsia="Arial" w:hAnsi="Arial"/>
                <w:sz w:val="18"/>
                <w:szCs w:val="18"/>
                <w:b w:val="1"/>
                <w:bCs w:val="1"/>
                <w:color w:val="auto"/>
              </w:rPr>
              <w:t>2009</w:t>
            </w:r>
          </w:p>
        </w:tc>
        <w:tc>
          <w:tcPr>
            <w:tcW w:w="1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1800" w:type="dxa"/>
            <w:vAlign w:val="bottom"/>
          </w:tcPr>
          <w:p>
            <w:pPr>
              <w:ind w:left="320"/>
              <w:spacing w:after="0"/>
              <w:rPr>
                <w:sz w:val="20"/>
                <w:szCs w:val="20"/>
                <w:color w:val="auto"/>
              </w:rPr>
            </w:pPr>
            <w:r>
              <w:rPr>
                <w:rFonts w:ascii="Arial" w:cs="Arial" w:eastAsia="Arial" w:hAnsi="Arial"/>
                <w:sz w:val="18"/>
                <w:szCs w:val="18"/>
                <w:color w:val="auto"/>
              </w:rPr>
              <w:t>High</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2.99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2.90</w:t>
            </w:r>
          </w:p>
        </w:tc>
      </w:tr>
      <w:tr>
        <w:trPr>
          <w:trHeight w:val="230"/>
        </w:trPr>
        <w:tc>
          <w:tcPr>
            <w:tcW w:w="1800" w:type="dxa"/>
            <w:vAlign w:val="bottom"/>
          </w:tcPr>
          <w:p>
            <w:pPr>
              <w:ind w:left="320"/>
              <w:spacing w:after="0"/>
              <w:rPr>
                <w:sz w:val="20"/>
                <w:szCs w:val="20"/>
                <w:color w:val="auto"/>
              </w:rPr>
            </w:pPr>
            <w:r>
              <w:rPr>
                <w:rFonts w:ascii="Arial" w:cs="Arial" w:eastAsia="Arial" w:hAnsi="Arial"/>
                <w:sz w:val="18"/>
                <w:szCs w:val="18"/>
                <w:color w:val="auto"/>
              </w:rPr>
              <w:t>Low</w:t>
            </w:r>
          </w:p>
        </w:tc>
        <w:tc>
          <w:tcPr>
            <w:tcW w:w="1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1.83</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w:t>
            </w:r>
          </w:p>
        </w:tc>
        <w:tc>
          <w:tcPr>
            <w:tcW w:w="20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1.94</w:t>
            </w:r>
          </w:p>
        </w:tc>
      </w:tr>
      <w:tr>
        <w:trPr>
          <w:trHeight w:val="418"/>
        </w:trPr>
        <w:tc>
          <w:tcPr>
            <w:tcW w:w="1800" w:type="dxa"/>
            <w:vAlign w:val="bottom"/>
          </w:tcPr>
          <w:p>
            <w:pPr>
              <w:ind w:left="160"/>
              <w:spacing w:after="0"/>
              <w:rPr>
                <w:sz w:val="20"/>
                <w:szCs w:val="20"/>
                <w:color w:val="auto"/>
              </w:rPr>
            </w:pPr>
            <w:r>
              <w:rPr>
                <w:rFonts w:ascii="Arial" w:cs="Arial" w:eastAsia="Arial" w:hAnsi="Arial"/>
                <w:sz w:val="18"/>
                <w:szCs w:val="18"/>
                <w:b w:val="1"/>
                <w:bCs w:val="1"/>
                <w:color w:val="auto"/>
              </w:rPr>
              <w:t>2008</w:t>
            </w: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6"/>
        </w:trPr>
        <w:tc>
          <w:tcPr>
            <w:tcW w:w="1800" w:type="dxa"/>
            <w:vAlign w:val="bottom"/>
          </w:tcPr>
          <w:p>
            <w:pPr>
              <w:ind w:left="320"/>
              <w:spacing w:after="0"/>
              <w:rPr>
                <w:sz w:val="20"/>
                <w:szCs w:val="20"/>
                <w:color w:val="auto"/>
              </w:rPr>
            </w:pPr>
            <w:r>
              <w:rPr>
                <w:rFonts w:ascii="Arial" w:cs="Arial" w:eastAsia="Arial" w:hAnsi="Arial"/>
                <w:sz w:val="18"/>
                <w:szCs w:val="18"/>
                <w:color w:val="auto"/>
              </w:rPr>
              <w:t>High</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3.96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2.96</w:t>
            </w:r>
          </w:p>
        </w:tc>
      </w:tr>
      <w:tr>
        <w:trPr>
          <w:trHeight w:val="230"/>
        </w:trPr>
        <w:tc>
          <w:tcPr>
            <w:tcW w:w="1800" w:type="dxa"/>
            <w:vAlign w:val="bottom"/>
          </w:tcPr>
          <w:p>
            <w:pPr>
              <w:ind w:left="320"/>
              <w:spacing w:after="0"/>
              <w:rPr>
                <w:sz w:val="20"/>
                <w:szCs w:val="20"/>
                <w:color w:val="auto"/>
              </w:rPr>
            </w:pPr>
            <w:r>
              <w:rPr>
                <w:rFonts w:ascii="Arial" w:cs="Arial" w:eastAsia="Arial" w:hAnsi="Arial"/>
                <w:sz w:val="18"/>
                <w:szCs w:val="18"/>
                <w:color w:val="auto"/>
              </w:rPr>
              <w:t>Low</w:t>
            </w:r>
          </w:p>
        </w:tc>
        <w:tc>
          <w:tcPr>
            <w:tcW w:w="1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3.65</w:t>
            </w:r>
          </w:p>
        </w:tc>
        <w:tc>
          <w:tcPr>
            <w:tcW w:w="16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2.85</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2.43</w:t>
            </w:r>
          </w:p>
        </w:tc>
        <w:tc>
          <w:tcPr>
            <w:tcW w:w="20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1.58</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February 5, 2010, we had approximately 125 shareholders of record. This number does not include shareholders from whom shares were held in a “nominee” or “street” name. We have never paid cash dividends on our common stock and we anticipate that we will continue to reinvest any earnings to finance future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We did not sell any equity securities that were not registered under the Securities Act of 1933 during the three months ended December 31, 2009.</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Performance Graph</w:t>
      </w:r>
    </w:p>
    <w:p>
      <w:pPr>
        <w:spacing w:after="0" w:line="256"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following performance graph compares the performance of Aware’s cumulative stockholder return with that of a broad market index, the Nasdaq Composite Index, and a published industry index, the RDG Technology Composite Index. The cumulative stockholder returns for shares of Aware’s common stock and for the market and industry indices are calculated assuming $100 was invested on December 31, 2004. Aware paid no cash dividends during the periods shown. The performance of the market and industry indices is shown on a total return, or dividends reinvested,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272415</wp:posOffset>
            </wp:positionV>
            <wp:extent cx="4382135" cy="3833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82135" cy="3833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8"/>
                <w:szCs w:val="18"/>
                <w:b w:val="1"/>
                <w:bCs w:val="1"/>
                <w:color w:val="auto"/>
                <w:w w:val="94"/>
              </w:rPr>
              <w:t>Value of Investment ($)</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38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12/31/04</w:t>
            </w:r>
          </w:p>
        </w:tc>
        <w:tc>
          <w:tcPr>
            <w:tcW w:w="2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12/31/05</w:t>
            </w:r>
          </w:p>
        </w:tc>
        <w:tc>
          <w:tcPr>
            <w:tcW w:w="1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12/31/06</w:t>
            </w:r>
          </w:p>
        </w:tc>
        <w:tc>
          <w:tcPr>
            <w:tcW w:w="12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b w:val="1"/>
                <w:bCs w:val="1"/>
                <w:color w:val="auto"/>
              </w:rPr>
              <w:t>12/31/07</w:t>
            </w:r>
          </w:p>
        </w:tc>
        <w:tc>
          <w:tcPr>
            <w:tcW w:w="10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b w:val="1"/>
                <w:bCs w:val="1"/>
                <w:color w:val="auto"/>
              </w:rPr>
              <w:t>12/31/08</w:t>
            </w:r>
          </w:p>
        </w:tc>
        <w:tc>
          <w:tcPr>
            <w:tcW w:w="10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b w:val="1"/>
                <w:bCs w:val="1"/>
                <w:color w:val="auto"/>
              </w:rPr>
              <w:t>12/31/09</w:t>
            </w:r>
          </w:p>
        </w:tc>
        <w:tc>
          <w:tcPr>
            <w:tcW w:w="120" w:type="dxa"/>
            <w:vAlign w:val="bottom"/>
          </w:tcPr>
          <w:p>
            <w:pPr>
              <w:spacing w:after="0"/>
              <w:rPr>
                <w:sz w:val="19"/>
                <w:szCs w:val="19"/>
                <w:color w:val="auto"/>
              </w:rPr>
            </w:pPr>
          </w:p>
        </w:tc>
      </w:tr>
      <w:tr>
        <w:trPr>
          <w:trHeight w:val="202"/>
        </w:trPr>
        <w:tc>
          <w:tcPr>
            <w:tcW w:w="5380" w:type="dxa"/>
            <w:vAlign w:val="bottom"/>
          </w:tcPr>
          <w:p>
            <w:pPr>
              <w:spacing w:after="0" w:line="201" w:lineRule="exact"/>
              <w:rPr>
                <w:sz w:val="20"/>
                <w:szCs w:val="20"/>
                <w:color w:val="auto"/>
              </w:rPr>
            </w:pPr>
            <w:r>
              <w:rPr>
                <w:rFonts w:ascii="Arial" w:cs="Arial" w:eastAsia="Arial" w:hAnsi="Arial"/>
                <w:sz w:val="18"/>
                <w:szCs w:val="18"/>
                <w:color w:val="auto"/>
              </w:rPr>
              <w:t>Aware, Inc.</w:t>
            </w: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   100.00</w:t>
            </w:r>
          </w:p>
        </w:tc>
        <w:tc>
          <w:tcPr>
            <w:tcW w:w="240" w:type="dxa"/>
            <w:vAlign w:val="bottom"/>
          </w:tcPr>
          <w:p>
            <w:pPr>
              <w:spacing w:after="0"/>
              <w:rPr>
                <w:sz w:val="17"/>
                <w:szCs w:val="17"/>
                <w:color w:val="auto"/>
              </w:rPr>
            </w:pPr>
          </w:p>
        </w:tc>
        <w:tc>
          <w:tcPr>
            <w:tcW w:w="200" w:type="dxa"/>
            <w:vAlign w:val="bottom"/>
            <w:tcBorders>
              <w:top w:val="single" w:sz="8" w:color="auto"/>
            </w:tcBorders>
          </w:tcPr>
          <w:p>
            <w:pPr>
              <w:jc w:val="right"/>
              <w:ind w:right="3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91.75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   109.90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86.60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38.56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57.73</w:t>
            </w:r>
          </w:p>
        </w:tc>
        <w:tc>
          <w:tcPr>
            <w:tcW w:w="120" w:type="dxa"/>
            <w:vAlign w:val="bottom"/>
          </w:tcPr>
          <w:p>
            <w:pPr>
              <w:spacing w:after="0"/>
              <w:rPr>
                <w:sz w:val="17"/>
                <w:szCs w:val="17"/>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Nasdaq Composite Index</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101.33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114.01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123.71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73.11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105.61</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RDG Technology Composite</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102.13</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111.45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127.27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71.89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115.97</w:t>
            </w:r>
          </w:p>
        </w:tc>
      </w:tr>
      <w:tr>
        <w:trPr>
          <w:trHeight w:val="702"/>
        </w:trPr>
        <w:tc>
          <w:tcPr>
            <w:tcW w:w="5380" w:type="dxa"/>
            <w:vAlign w:val="bottom"/>
          </w:tcPr>
          <w:p>
            <w:pPr>
              <w:spacing w:after="0"/>
              <w:rPr>
                <w:sz w:val="24"/>
                <w:szCs w:val="24"/>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8"/>
        </w:trPr>
        <w:tc>
          <w:tcPr>
            <w:tcW w:w="53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07" w:right="2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040" w:type="dxa"/>
            <w:vAlign w:val="bottom"/>
            <w:gridSpan w:val="5"/>
          </w:tcPr>
          <w:p>
            <w:pPr>
              <w:ind w:left="100"/>
              <w:spacing w:after="0"/>
              <w:rPr>
                <w:sz w:val="20"/>
                <w:szCs w:val="20"/>
                <w:color w:val="auto"/>
              </w:rPr>
            </w:pPr>
            <w:r>
              <w:rPr>
                <w:rFonts w:ascii="Arial" w:cs="Arial" w:eastAsia="Arial" w:hAnsi="Arial"/>
                <w:sz w:val="18"/>
                <w:szCs w:val="18"/>
                <w:b w:val="1"/>
                <w:bCs w:val="1"/>
                <w:color w:val="auto"/>
                <w:w w:val="90"/>
              </w:rPr>
              <w:t>Issuer Purchases of Equity Securities</w:t>
            </w:r>
          </w:p>
        </w:tc>
        <w:tc>
          <w:tcPr>
            <w:tcW w:w="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5"/>
              </w:rPr>
              <w:t>(d)</w:t>
            </w: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5"/>
              </w:rPr>
              <w:t>Maximum Number (or</w:t>
            </w: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w:t>
            </w:r>
          </w:p>
        </w:tc>
        <w:tc>
          <w:tcPr>
            <w:tcW w:w="100" w:type="dxa"/>
            <w:vAlign w:val="bottom"/>
          </w:tcPr>
          <w:p>
            <w:pPr>
              <w:spacing w:after="0"/>
              <w:rPr>
                <w:sz w:val="18"/>
                <w:szCs w:val="18"/>
                <w:color w:val="auto"/>
              </w:rPr>
            </w:pPr>
          </w:p>
        </w:tc>
        <w:tc>
          <w:tcPr>
            <w:tcW w:w="17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Approximate Dollar</w:t>
            </w: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Total Number of Shares</w:t>
            </w:r>
          </w:p>
        </w:tc>
        <w:tc>
          <w:tcPr>
            <w:tcW w:w="100" w:type="dxa"/>
            <w:vAlign w:val="bottom"/>
          </w:tcPr>
          <w:p>
            <w:pPr>
              <w:spacing w:after="0"/>
              <w:rPr>
                <w:sz w:val="18"/>
                <w:szCs w:val="18"/>
                <w:color w:val="auto"/>
              </w:rPr>
            </w:pPr>
          </w:p>
        </w:tc>
        <w:tc>
          <w:tcPr>
            <w:tcW w:w="17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Value) of Shares that</w:t>
            </w: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(b)</w:t>
            </w:r>
          </w:p>
        </w:tc>
        <w:tc>
          <w:tcPr>
            <w:tcW w:w="80" w:type="dxa"/>
            <w:vAlign w:val="bottom"/>
          </w:tcPr>
          <w:p>
            <w:pPr>
              <w:spacing w:after="0"/>
              <w:rPr>
                <w:sz w:val="18"/>
                <w:szCs w:val="18"/>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Purchased as Part of</w:t>
            </w:r>
          </w:p>
        </w:tc>
        <w:tc>
          <w:tcPr>
            <w:tcW w:w="100" w:type="dxa"/>
            <w:vAlign w:val="bottom"/>
          </w:tcPr>
          <w:p>
            <w:pPr>
              <w:spacing w:after="0"/>
              <w:rPr>
                <w:sz w:val="18"/>
                <w:szCs w:val="18"/>
                <w:color w:val="auto"/>
              </w:rPr>
            </w:pPr>
          </w:p>
        </w:tc>
        <w:tc>
          <w:tcPr>
            <w:tcW w:w="17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May Yet Be Purchased</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20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 Number of</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Average Price</w:t>
            </w:r>
          </w:p>
        </w:tc>
        <w:tc>
          <w:tcPr>
            <w:tcW w:w="22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9"/>
              </w:rPr>
              <w:t>Publicly Announced Plans</w:t>
            </w:r>
          </w:p>
        </w:tc>
        <w:tc>
          <w:tcPr>
            <w:tcW w:w="100" w:type="dxa"/>
            <w:vAlign w:val="bottom"/>
          </w:tcPr>
          <w:p>
            <w:pPr>
              <w:spacing w:after="0"/>
              <w:rPr>
                <w:sz w:val="18"/>
                <w:szCs w:val="18"/>
                <w:color w:val="auto"/>
              </w:rPr>
            </w:pPr>
          </w:p>
        </w:tc>
        <w:tc>
          <w:tcPr>
            <w:tcW w:w="17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Under the Plans</w:t>
            </w:r>
          </w:p>
        </w:tc>
      </w:tr>
      <w:tr>
        <w:trPr>
          <w:trHeight w:val="241"/>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7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6"/>
              </w:rPr>
              <w:t>Shares Purchased</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Paid per Share</w:t>
            </w:r>
          </w:p>
        </w:tc>
        <w:tc>
          <w:tcPr>
            <w:tcW w:w="80" w:type="dxa"/>
            <w:vAlign w:val="bottom"/>
          </w:tcPr>
          <w:p>
            <w:pPr>
              <w:spacing w:after="0"/>
              <w:rPr>
                <w:sz w:val="20"/>
                <w:szCs w:val="20"/>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or Programs(1)</w:t>
            </w:r>
          </w:p>
        </w:tc>
        <w:tc>
          <w:tcPr>
            <w:tcW w:w="100" w:type="dxa"/>
            <w:vAlign w:val="bottom"/>
          </w:tcPr>
          <w:p>
            <w:pPr>
              <w:spacing w:after="0"/>
              <w:rPr>
                <w:sz w:val="20"/>
                <w:szCs w:val="20"/>
                <w:color w:val="auto"/>
              </w:rPr>
            </w:pPr>
          </w:p>
        </w:tc>
        <w:tc>
          <w:tcPr>
            <w:tcW w:w="17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or Programs</w:t>
            </w:r>
          </w:p>
        </w:tc>
      </w:tr>
      <w:tr>
        <w:trPr>
          <w:trHeight w:val="329"/>
        </w:trPr>
        <w:tc>
          <w:tcPr>
            <w:tcW w:w="20" w:type="dxa"/>
            <w:vAlign w:val="bottom"/>
          </w:tcPr>
          <w:p>
            <w:pPr>
              <w:spacing w:after="0"/>
              <w:rPr>
                <w:sz w:val="24"/>
                <w:szCs w:val="24"/>
                <w:color w:val="auto"/>
              </w:rPr>
            </w:pPr>
          </w:p>
        </w:tc>
        <w:tc>
          <w:tcPr>
            <w:tcW w:w="4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October 1, 2009 to December 31, 2009</w:t>
            </w:r>
            <w:r>
              <w:rPr>
                <w:rFonts w:ascii="Arial" w:cs="Arial" w:eastAsia="Arial" w:hAnsi="Arial"/>
                <w:sz w:val="25"/>
                <w:szCs w:val="25"/>
                <w:color w:val="auto"/>
                <w:vertAlign w:val="superscript"/>
              </w:rPr>
              <w:t>1</w:t>
            </w:r>
          </w:p>
        </w:tc>
        <w:tc>
          <w:tcPr>
            <w:tcW w:w="200" w:type="dxa"/>
            <w:vAlign w:val="bottom"/>
          </w:tcPr>
          <w:p>
            <w:pPr>
              <w:spacing w:after="0"/>
              <w:rPr>
                <w:sz w:val="24"/>
                <w:szCs w:val="24"/>
                <w:color w:val="auto"/>
              </w:rPr>
            </w:pPr>
          </w:p>
        </w:tc>
        <w:tc>
          <w:tcPr>
            <w:tcW w:w="136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1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bl>
    <w:p>
      <w:pPr>
        <w:spacing w:after="0" w:line="116" w:lineRule="exact"/>
        <w:rPr>
          <w:sz w:val="20"/>
          <w:szCs w:val="20"/>
          <w:color w:val="auto"/>
        </w:rPr>
      </w:pPr>
    </w:p>
    <w:p>
      <w:pPr>
        <w:jc w:val="both"/>
        <w:ind w:left="460" w:right="20" w:hanging="452"/>
        <w:spacing w:after="0" w:line="25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August 28, 2007, we issued a press release announcing that our board of directors had approved the repurchase from time to time through December 31, 2008 of up to $5,000,000 of our common stock. On October 29, 2008, we announced that our board of directors had approved an amendment to the program that increased the total amount of common stock that may be repurchased from $5,000,000 to $10,000,000. The amendment also extended the period of time that shares may be repurchased from December 31, 2008 to December 31, 2009. The repurchase program ended on December 31, 2009.</w:t>
      </w:r>
    </w:p>
    <w:p>
      <w:pPr>
        <w:spacing w:after="0" w:line="188" w:lineRule="exact"/>
        <w:rPr>
          <w:rFonts w:ascii="Arial" w:cs="Arial" w:eastAsia="Arial" w:hAnsi="Arial"/>
          <w:sz w:val="18"/>
          <w:szCs w:val="18"/>
          <w:color w:val="auto"/>
        </w:rPr>
      </w:pPr>
    </w:p>
    <w:p>
      <w:pPr>
        <w:ind w:left="460"/>
        <w:spacing w:after="0" w:line="277" w:lineRule="auto"/>
        <w:rPr>
          <w:rFonts w:ascii="Arial" w:cs="Arial" w:eastAsia="Arial" w:hAnsi="Arial"/>
          <w:sz w:val="18"/>
          <w:szCs w:val="18"/>
          <w:color w:val="auto"/>
        </w:rPr>
      </w:pPr>
      <w:r>
        <w:rPr>
          <w:rFonts w:ascii="Arial" w:cs="Arial" w:eastAsia="Arial" w:hAnsi="Arial"/>
          <w:sz w:val="18"/>
          <w:szCs w:val="18"/>
          <w:color w:val="auto"/>
        </w:rPr>
        <w:t>During 2007 and 2008, we purchased 9,107 and 712,024 shares, respectively, at a total cost of $38,716 and $2,357,410, respectively, under this plan. We did not purchase any shares under the plan in 2009.</w:t>
      </w:r>
    </w:p>
    <w:p>
      <w:pPr>
        <w:spacing w:after="0" w:line="170"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March 5, 2009, we announced a modified Dutch auction tender offer to purchase up to 3,500,000 shares of our common stock at a price per share of not less than $2.20 and not greater than $2.60. The terms of the tender offer also provided the right for us to purchase up to an additional 2% of our shares if the offer was oversubscribed. The tender offer closed on April 17, 2009, and on April 23, 2009 we repurchased 3,500,252 shares at $2.50 per share for a total cost of $9.0 million, including expenses.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5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the table below, we provide you with our selected consolidated financial data. We have prepared this information using our audited consolidated financial statements for the years ended December 31, 2009, 2008, 2007, 2006, and 2005. When you read this selected financial data, it is important that you read it along with Management’s Discussion and Analysis of Financial Condition and Results of Operations, our historical consolidated financial statements, and the related notes to the financial statements, which can be found in Item 8.</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Year ended December 31,</w:t>
            </w:r>
          </w:p>
        </w:tc>
        <w:tc>
          <w:tcPr>
            <w:tcW w:w="2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2009</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2008</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2007</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89"/>
              </w:rPr>
              <w:t>2006</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2005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160" w:type="dxa"/>
            <w:vAlign w:val="bottom"/>
            <w:gridSpan w:val="6"/>
          </w:tcPr>
          <w:p>
            <w:pPr>
              <w:jc w:val="right"/>
              <w:spacing w:after="0"/>
              <w:rPr>
                <w:sz w:val="20"/>
                <w:szCs w:val="20"/>
                <w:color w:val="auto"/>
              </w:rPr>
            </w:pPr>
            <w:r>
              <w:rPr>
                <w:rFonts w:ascii="Arial" w:cs="Arial" w:eastAsia="Arial" w:hAnsi="Arial"/>
                <w:sz w:val="18"/>
                <w:szCs w:val="18"/>
                <w:color w:val="auto"/>
              </w:rPr>
              <w:t>(in thousands, except per share data)</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4140" w:type="dxa"/>
            <w:vAlign w:val="bottom"/>
            <w:gridSpan w:val="3"/>
          </w:tcPr>
          <w:p>
            <w:pPr>
              <w:spacing w:after="0"/>
              <w:rPr>
                <w:sz w:val="20"/>
                <w:szCs w:val="20"/>
                <w:color w:val="auto"/>
              </w:rPr>
            </w:pPr>
            <w:r>
              <w:rPr>
                <w:rFonts w:ascii="Arial" w:cs="Arial" w:eastAsia="Arial" w:hAnsi="Arial"/>
                <w:sz w:val="18"/>
                <w:szCs w:val="18"/>
                <w:color w:val="auto"/>
              </w:rPr>
              <w:t>Statements of Operations Data</w:t>
            </w:r>
          </w:p>
        </w:tc>
        <w:tc>
          <w:tcPr>
            <w:tcW w:w="2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ind w:right="70"/>
              <w:spacing w:after="0"/>
              <w:rPr>
                <w:sz w:val="20"/>
                <w:szCs w:val="20"/>
                <w:color w:val="auto"/>
              </w:rPr>
            </w:pPr>
            <w:r>
              <w:rPr>
                <w:rFonts w:ascii="Arial" w:cs="Arial" w:eastAsia="Arial" w:hAnsi="Arial"/>
                <w:sz w:val="18"/>
                <w:szCs w:val="18"/>
                <w:color w:val="auto"/>
              </w:rPr>
              <w:t>22,042</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ind w:right="30"/>
              <w:spacing w:after="0"/>
              <w:rPr>
                <w:sz w:val="20"/>
                <w:szCs w:val="20"/>
                <w:color w:val="auto"/>
              </w:rPr>
            </w:pPr>
            <w:r>
              <w:rPr>
                <w:rFonts w:ascii="Arial" w:cs="Arial" w:eastAsia="Arial" w:hAnsi="Arial"/>
                <w:sz w:val="18"/>
                <w:szCs w:val="18"/>
                <w:color w:val="auto"/>
              </w:rPr>
              <w:t>30,517</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ind w:right="50"/>
              <w:spacing w:after="0"/>
              <w:rPr>
                <w:sz w:val="20"/>
                <w:szCs w:val="20"/>
                <w:color w:val="auto"/>
              </w:rPr>
            </w:pPr>
            <w:r>
              <w:rPr>
                <w:rFonts w:ascii="Arial" w:cs="Arial" w:eastAsia="Arial" w:hAnsi="Arial"/>
                <w:sz w:val="18"/>
                <w:szCs w:val="18"/>
                <w:color w:val="auto"/>
              </w:rPr>
              <w:t>26,437</w:t>
            </w:r>
          </w:p>
        </w:tc>
        <w:tc>
          <w:tcPr>
            <w:tcW w:w="2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50"/>
              <w:spacing w:after="0"/>
              <w:rPr>
                <w:sz w:val="20"/>
                <w:szCs w:val="20"/>
                <w:color w:val="auto"/>
              </w:rPr>
            </w:pPr>
            <w:r>
              <w:rPr>
                <w:rFonts w:ascii="Arial" w:cs="Arial" w:eastAsia="Arial" w:hAnsi="Arial"/>
                <w:sz w:val="18"/>
                <w:szCs w:val="18"/>
                <w:color w:val="auto"/>
              </w:rPr>
              <w:t>24,056</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10"/>
              <w:spacing w:after="0"/>
              <w:rPr>
                <w:sz w:val="20"/>
                <w:szCs w:val="20"/>
                <w:color w:val="auto"/>
              </w:rPr>
            </w:pPr>
            <w:r>
              <w:rPr>
                <w:rFonts w:ascii="Arial" w:cs="Arial" w:eastAsia="Arial" w:hAnsi="Arial"/>
                <w:sz w:val="18"/>
                <w:szCs w:val="18"/>
                <w:color w:val="auto"/>
              </w:rPr>
              <w:t>15,667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920" w:type="dxa"/>
            <w:vAlign w:val="bottom"/>
          </w:tcPr>
          <w:p>
            <w:pPr>
              <w:spacing w:after="0"/>
              <w:rPr>
                <w:sz w:val="19"/>
                <w:szCs w:val="19"/>
                <w:color w:val="auto"/>
              </w:rPr>
            </w:pPr>
          </w:p>
        </w:tc>
        <w:tc>
          <w:tcPr>
            <w:tcW w:w="24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40" w:type="dxa"/>
            <w:vAlign w:val="bottom"/>
            <w:gridSpan w:val="3"/>
          </w:tcPr>
          <w:p>
            <w:pPr>
              <w:spacing w:after="0"/>
              <w:rPr>
                <w:sz w:val="20"/>
                <w:szCs w:val="20"/>
                <w:color w:val="auto"/>
              </w:rPr>
            </w:pPr>
            <w:r>
              <w:rPr>
                <w:rFonts w:ascii="Arial" w:cs="Arial" w:eastAsia="Arial" w:hAnsi="Arial"/>
                <w:sz w:val="18"/>
                <w:szCs w:val="18"/>
                <w:color w:val="auto"/>
              </w:rPr>
              <w:t>Income (loss) from operations</w:t>
            </w:r>
          </w:p>
        </w:tc>
        <w:tc>
          <w:tcPr>
            <w:tcW w:w="24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(5,482)</w:t>
            </w:r>
          </w:p>
        </w:tc>
        <w:tc>
          <w:tcPr>
            <w:tcW w:w="24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629</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(1,830)</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(399)</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3"/>
          </w:tcPr>
          <w:p>
            <w:pPr>
              <w:spacing w:after="0"/>
              <w:rPr>
                <w:sz w:val="20"/>
                <w:szCs w:val="20"/>
                <w:color w:val="auto"/>
              </w:rPr>
            </w:pPr>
            <w:r>
              <w:rPr>
                <w:rFonts w:ascii="Arial" w:cs="Arial" w:eastAsia="Arial" w:hAnsi="Arial"/>
                <w:sz w:val="18"/>
                <w:szCs w:val="18"/>
                <w:color w:val="auto"/>
              </w:rPr>
              <w:t>Gain on sale of assets</w:t>
            </w:r>
          </w:p>
        </w:tc>
        <w:tc>
          <w:tcPr>
            <w:tcW w:w="242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6,230</w:t>
            </w:r>
          </w:p>
        </w:tc>
        <w:tc>
          <w:tcPr>
            <w:tcW w:w="24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3"/>
          </w:tcPr>
          <w:p>
            <w:pPr>
              <w:spacing w:after="0"/>
              <w:rPr>
                <w:sz w:val="20"/>
                <w:szCs w:val="20"/>
                <w:color w:val="auto"/>
              </w:rPr>
            </w:pPr>
            <w:r>
              <w:rPr>
                <w:rFonts w:ascii="Arial" w:cs="Arial" w:eastAsia="Arial" w:hAnsi="Arial"/>
                <w:sz w:val="18"/>
                <w:szCs w:val="18"/>
                <w:color w:val="auto"/>
              </w:rPr>
              <w:t>Net income (loss)</w:t>
            </w:r>
          </w:p>
        </w:tc>
        <w:tc>
          <w:tcPr>
            <w:tcW w:w="242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982</w:t>
            </w:r>
          </w:p>
        </w:tc>
        <w:tc>
          <w:tcPr>
            <w:tcW w:w="24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1,776</w:t>
            </w:r>
          </w:p>
        </w:tc>
        <w:tc>
          <w:tcPr>
            <w:tcW w:w="28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160</w:t>
            </w:r>
          </w:p>
        </w:tc>
        <w:tc>
          <w:tcPr>
            <w:tcW w:w="26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1,034</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3"/>
          </w:tcPr>
          <w:p>
            <w:pPr>
              <w:spacing w:after="0"/>
              <w:rPr>
                <w:sz w:val="20"/>
                <w:szCs w:val="20"/>
                <w:color w:val="auto"/>
              </w:rPr>
            </w:pPr>
            <w:r>
              <w:rPr>
                <w:rFonts w:ascii="Arial" w:cs="Arial" w:eastAsia="Arial" w:hAnsi="Arial"/>
                <w:sz w:val="18"/>
                <w:szCs w:val="18"/>
                <w:color w:val="auto"/>
              </w:rPr>
              <w:t>Net income (loss) per share – basic</w:t>
            </w:r>
          </w:p>
        </w:tc>
        <w:tc>
          <w:tcPr>
            <w:tcW w:w="24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0.05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0.08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0.01</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0.04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gridSpan w:val="3"/>
          </w:tcPr>
          <w:p>
            <w:pPr>
              <w:spacing w:after="0"/>
              <w:rPr>
                <w:sz w:val="20"/>
                <w:szCs w:val="20"/>
                <w:color w:val="auto"/>
              </w:rPr>
            </w:pPr>
            <w:r>
              <w:rPr>
                <w:rFonts w:ascii="Arial" w:cs="Arial" w:eastAsia="Arial" w:hAnsi="Arial"/>
                <w:sz w:val="18"/>
                <w:szCs w:val="18"/>
                <w:color w:val="auto"/>
              </w:rPr>
              <w:t>Net income (loss) per share – diluted</w:t>
            </w:r>
          </w:p>
        </w:tc>
        <w:tc>
          <w:tcPr>
            <w:tcW w:w="24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0.05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0.07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0.01</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0.04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Balance Sheet Data</w:t>
            </w:r>
          </w:p>
        </w:tc>
        <w:tc>
          <w:tcPr>
            <w:tcW w:w="2720" w:type="dxa"/>
            <w:vAlign w:val="bottom"/>
            <w:gridSpan w:val="2"/>
          </w:tcPr>
          <w:p>
            <w:pPr>
              <w:spacing w:after="0"/>
              <w:rPr>
                <w:sz w:val="24"/>
                <w:szCs w:val="24"/>
                <w:color w:val="auto"/>
              </w:rPr>
            </w:pPr>
          </w:p>
        </w:tc>
        <w:tc>
          <w:tcPr>
            <w:tcW w:w="2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140" w:type="dxa"/>
            <w:vAlign w:val="bottom"/>
            <w:gridSpan w:val="3"/>
          </w:tcPr>
          <w:p>
            <w:pPr>
              <w:spacing w:after="0"/>
              <w:rPr>
                <w:sz w:val="20"/>
                <w:szCs w:val="20"/>
                <w:color w:val="auto"/>
              </w:rPr>
            </w:pPr>
            <w:r>
              <w:rPr>
                <w:rFonts w:ascii="Arial" w:cs="Arial" w:eastAsia="Arial" w:hAnsi="Arial"/>
                <w:sz w:val="18"/>
                <w:szCs w:val="18"/>
                <w:color w:val="auto"/>
              </w:rPr>
              <w:t>Cash and short-term investments</w:t>
            </w:r>
          </w:p>
        </w:tc>
        <w:tc>
          <w:tcPr>
            <w:tcW w:w="24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39,669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45,516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38,055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37,834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36,763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40" w:type="dxa"/>
            <w:vAlign w:val="bottom"/>
            <w:gridSpan w:val="3"/>
          </w:tcPr>
          <w:p>
            <w:pPr>
              <w:spacing w:after="0"/>
              <w:rPr>
                <w:sz w:val="20"/>
                <w:szCs w:val="20"/>
                <w:color w:val="auto"/>
              </w:rPr>
            </w:pPr>
            <w:r>
              <w:rPr>
                <w:rFonts w:ascii="Arial" w:cs="Arial" w:eastAsia="Arial" w:hAnsi="Arial"/>
                <w:sz w:val="18"/>
                <w:szCs w:val="18"/>
                <w:color w:val="auto"/>
              </w:rPr>
              <w:t>Working capital</w:t>
            </w:r>
          </w:p>
        </w:tc>
        <w:tc>
          <w:tcPr>
            <w:tcW w:w="242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42,209</w:t>
            </w:r>
          </w:p>
        </w:tc>
        <w:tc>
          <w:tcPr>
            <w:tcW w:w="24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47,288</w:t>
            </w:r>
          </w:p>
        </w:tc>
        <w:tc>
          <w:tcPr>
            <w:tcW w:w="28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45,031</w:t>
            </w:r>
          </w:p>
        </w:tc>
        <w:tc>
          <w:tcPr>
            <w:tcW w:w="26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41,372</w:t>
            </w:r>
          </w:p>
        </w:tc>
        <w:tc>
          <w:tcPr>
            <w:tcW w:w="22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39,124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242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51,454</w:t>
            </w:r>
          </w:p>
        </w:tc>
        <w:tc>
          <w:tcPr>
            <w:tcW w:w="24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57,546</w:t>
            </w:r>
          </w:p>
        </w:tc>
        <w:tc>
          <w:tcPr>
            <w:tcW w:w="28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56,383</w:t>
            </w:r>
          </w:p>
        </w:tc>
        <w:tc>
          <w:tcPr>
            <w:tcW w:w="26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54,586</w:t>
            </w:r>
          </w:p>
        </w:tc>
        <w:tc>
          <w:tcPr>
            <w:tcW w:w="22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49,741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242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3,094</w:t>
            </w:r>
          </w:p>
        </w:tc>
        <w:tc>
          <w:tcPr>
            <w:tcW w:w="24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3,023</w:t>
            </w:r>
          </w:p>
        </w:tc>
        <w:tc>
          <w:tcPr>
            <w:tcW w:w="28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3,147</w:t>
            </w:r>
          </w:p>
        </w:tc>
        <w:tc>
          <w:tcPr>
            <w:tcW w:w="26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3,216</w:t>
            </w:r>
          </w:p>
        </w:tc>
        <w:tc>
          <w:tcPr>
            <w:tcW w:w="22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2,238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gridSpan w:val="3"/>
          </w:tcPr>
          <w:p>
            <w:pPr>
              <w:spacing w:after="0"/>
              <w:rPr>
                <w:sz w:val="20"/>
                <w:szCs w:val="20"/>
                <w:color w:val="auto"/>
              </w:rPr>
            </w:pPr>
            <w:r>
              <w:rPr>
                <w:rFonts w:ascii="Arial" w:cs="Arial" w:eastAsia="Arial" w:hAnsi="Arial"/>
                <w:sz w:val="18"/>
                <w:szCs w:val="18"/>
                <w:color w:val="auto"/>
              </w:rPr>
              <w:t>Total stockholders’ equity</w:t>
            </w:r>
          </w:p>
        </w:tc>
        <w:tc>
          <w:tcPr>
            <w:tcW w:w="242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48,360</w:t>
            </w:r>
          </w:p>
        </w:tc>
        <w:tc>
          <w:tcPr>
            <w:tcW w:w="24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54,523</w:t>
            </w:r>
          </w:p>
        </w:tc>
        <w:tc>
          <w:tcPr>
            <w:tcW w:w="28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53,236</w:t>
            </w:r>
          </w:p>
        </w:tc>
        <w:tc>
          <w:tcPr>
            <w:tcW w:w="26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51,370</w:t>
            </w:r>
          </w:p>
        </w:tc>
        <w:tc>
          <w:tcPr>
            <w:tcW w:w="22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47,503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1"/>
        </w:trPr>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20" w:type="dxa"/>
            <w:vAlign w:val="bottom"/>
          </w:tcPr>
          <w:p>
            <w:pPr>
              <w:jc w:val="right"/>
              <w:ind w:right="670"/>
              <w:spacing w:after="0"/>
              <w:rPr>
                <w:sz w:val="20"/>
                <w:szCs w:val="20"/>
                <w:color w:val="auto"/>
              </w:rPr>
            </w:pPr>
            <w:r>
              <w:rPr>
                <w:rFonts w:ascii="Arial" w:cs="Arial" w:eastAsia="Arial" w:hAnsi="Arial"/>
                <w:sz w:val="18"/>
                <w:szCs w:val="18"/>
                <w:color w:val="auto"/>
              </w:rPr>
              <w:t>22</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4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24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80" w:right="21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sets forth, for the years indicated, certain line items from our consolidated statements of operations stated as a percentage of total revenue:</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Revenue:</w:t>
      </w:r>
    </w:p>
    <w:p>
      <w:pPr>
        <w:spacing w:after="0" w:line="3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Product sales</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Contract revenue</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Royalties</w:t>
      </w:r>
    </w:p>
    <w:p>
      <w:pPr>
        <w:spacing w:after="0" w:line="22"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Total revenue</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Costs and expenses:</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Cost of product sales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Cost of contract revenue</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Selling and marketing</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General and administrative</w:t>
      </w:r>
    </w:p>
    <w:p>
      <w:pPr>
        <w:spacing w:after="0" w:line="22"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Total costs and expenses</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Income (loss) from operations</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Gain on sale of assets</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Interest income</w:t>
      </w:r>
    </w:p>
    <w:p>
      <w:pPr>
        <w:spacing w:after="0" w:line="23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Income before provision for income taxes</w:t>
      </w:r>
    </w:p>
    <w:p>
      <w:pPr>
        <w:spacing w:after="0" w:line="4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Provision for income taxes</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Year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2009</w:t>
            </w:r>
          </w:p>
        </w:tc>
        <w:tc>
          <w:tcPr>
            <w:tcW w:w="9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2008</w:t>
            </w: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2007</w:t>
            </w:r>
          </w:p>
        </w:tc>
      </w:tr>
      <w:tr>
        <w:trPr>
          <w:trHeight w:val="202"/>
        </w:trPr>
        <w:tc>
          <w:tcPr>
            <w:tcW w:w="1240" w:type="dxa"/>
            <w:vAlign w:val="bottom"/>
          </w:tcPr>
          <w:p>
            <w:pPr>
              <w:jc w:val="right"/>
              <w:ind w:right="50"/>
              <w:spacing w:after="0" w:line="201" w:lineRule="exact"/>
              <w:rPr>
                <w:sz w:val="20"/>
                <w:szCs w:val="20"/>
                <w:color w:val="auto"/>
              </w:rPr>
            </w:pPr>
            <w:r>
              <w:rPr>
                <w:rFonts w:ascii="Arial" w:cs="Arial" w:eastAsia="Arial" w:hAnsi="Arial"/>
                <w:sz w:val="18"/>
                <w:szCs w:val="18"/>
                <w:color w:val="auto"/>
              </w:rPr>
              <w:t>70%</w:t>
            </w:r>
          </w:p>
        </w:tc>
        <w:tc>
          <w:tcPr>
            <w:tcW w:w="960" w:type="dxa"/>
            <w:vAlign w:val="bottom"/>
          </w:tcPr>
          <w:p>
            <w:pPr>
              <w:jc w:val="right"/>
              <w:ind w:right="50"/>
              <w:spacing w:after="0" w:line="201" w:lineRule="exact"/>
              <w:rPr>
                <w:sz w:val="20"/>
                <w:szCs w:val="20"/>
                <w:color w:val="auto"/>
              </w:rPr>
            </w:pPr>
            <w:r>
              <w:rPr>
                <w:rFonts w:ascii="Arial" w:cs="Arial" w:eastAsia="Arial" w:hAnsi="Arial"/>
                <w:sz w:val="18"/>
                <w:szCs w:val="18"/>
                <w:color w:val="auto"/>
              </w:rPr>
              <w:t>46%</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66%</w:t>
            </w:r>
          </w:p>
        </w:tc>
      </w:tr>
      <w:tr>
        <w:trPr>
          <w:trHeight w:val="216"/>
        </w:trPr>
        <w:tc>
          <w:tcPr>
            <w:tcW w:w="1240" w:type="dxa"/>
            <w:vAlign w:val="bottom"/>
          </w:tcPr>
          <w:p>
            <w:pPr>
              <w:jc w:val="right"/>
              <w:ind w:right="210"/>
              <w:spacing w:after="0"/>
              <w:rPr>
                <w:sz w:val="20"/>
                <w:szCs w:val="20"/>
                <w:color w:val="auto"/>
              </w:rPr>
            </w:pPr>
            <w:r>
              <w:rPr>
                <w:rFonts w:ascii="Arial" w:cs="Arial" w:eastAsia="Arial" w:hAnsi="Arial"/>
                <w:sz w:val="18"/>
                <w:szCs w:val="18"/>
                <w:color w:val="auto"/>
              </w:rPr>
              <w:t>21</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48</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24</w:t>
            </w:r>
          </w:p>
        </w:tc>
      </w:tr>
      <w:tr>
        <w:trPr>
          <w:trHeight w:val="237"/>
        </w:trPr>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9</w:t>
            </w: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w:t>
            </w:r>
          </w:p>
        </w:tc>
      </w:tr>
      <w:tr>
        <w:trPr>
          <w:trHeight w:val="230"/>
        </w:trPr>
        <w:tc>
          <w:tcPr>
            <w:tcW w:w="1240" w:type="dxa"/>
            <w:vAlign w:val="bottom"/>
          </w:tcPr>
          <w:p>
            <w:pPr>
              <w:jc w:val="right"/>
              <w:ind w:right="210"/>
              <w:spacing w:after="0"/>
              <w:rPr>
                <w:sz w:val="20"/>
                <w:szCs w:val="20"/>
                <w:color w:val="auto"/>
              </w:rPr>
            </w:pPr>
            <w:r>
              <w:rPr>
                <w:rFonts w:ascii="Arial" w:cs="Arial" w:eastAsia="Arial" w:hAnsi="Arial"/>
                <w:sz w:val="18"/>
                <w:szCs w:val="18"/>
                <w:color w:val="auto"/>
              </w:rPr>
              <w:t>100</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100</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100</w:t>
            </w:r>
          </w:p>
        </w:tc>
      </w:tr>
      <w:tr>
        <w:trPr>
          <w:trHeight w:val="620"/>
        </w:trPr>
        <w:tc>
          <w:tcPr>
            <w:tcW w:w="1240" w:type="dxa"/>
            <w:vAlign w:val="bottom"/>
          </w:tcPr>
          <w:p>
            <w:pPr>
              <w:jc w:val="right"/>
              <w:ind w:right="210"/>
              <w:spacing w:after="0"/>
              <w:rPr>
                <w:sz w:val="20"/>
                <w:szCs w:val="20"/>
                <w:color w:val="auto"/>
              </w:rPr>
            </w:pPr>
            <w:r>
              <w:rPr>
                <w:rFonts w:ascii="Arial" w:cs="Arial" w:eastAsia="Arial" w:hAnsi="Arial"/>
                <w:sz w:val="18"/>
                <w:szCs w:val="18"/>
                <w:color w:val="auto"/>
              </w:rPr>
              <w:t>13</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8</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15</w:t>
            </w:r>
          </w:p>
        </w:tc>
      </w:tr>
      <w:tr>
        <w:trPr>
          <w:trHeight w:val="216"/>
        </w:trPr>
        <w:tc>
          <w:tcPr>
            <w:tcW w:w="1240" w:type="dxa"/>
            <w:vAlign w:val="bottom"/>
          </w:tcPr>
          <w:p>
            <w:pPr>
              <w:jc w:val="right"/>
              <w:ind w:right="210"/>
              <w:spacing w:after="0"/>
              <w:rPr>
                <w:sz w:val="20"/>
                <w:szCs w:val="20"/>
                <w:color w:val="auto"/>
              </w:rPr>
            </w:pPr>
            <w:r>
              <w:rPr>
                <w:rFonts w:ascii="Arial" w:cs="Arial" w:eastAsia="Arial" w:hAnsi="Arial"/>
                <w:sz w:val="18"/>
                <w:szCs w:val="18"/>
                <w:color w:val="auto"/>
              </w:rPr>
              <w:t>13</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14</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21</w:t>
            </w:r>
          </w:p>
        </w:tc>
      </w:tr>
      <w:tr>
        <w:trPr>
          <w:trHeight w:val="216"/>
        </w:trPr>
        <w:tc>
          <w:tcPr>
            <w:tcW w:w="1240" w:type="dxa"/>
            <w:vAlign w:val="bottom"/>
          </w:tcPr>
          <w:p>
            <w:pPr>
              <w:jc w:val="right"/>
              <w:ind w:right="210"/>
              <w:spacing w:after="0"/>
              <w:rPr>
                <w:sz w:val="20"/>
                <w:szCs w:val="20"/>
                <w:color w:val="auto"/>
              </w:rPr>
            </w:pPr>
            <w:r>
              <w:rPr>
                <w:rFonts w:ascii="Arial" w:cs="Arial" w:eastAsia="Arial" w:hAnsi="Arial"/>
                <w:sz w:val="18"/>
                <w:szCs w:val="18"/>
                <w:color w:val="auto"/>
              </w:rPr>
              <w:t>54</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43</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41</w:t>
            </w:r>
          </w:p>
        </w:tc>
      </w:tr>
      <w:tr>
        <w:trPr>
          <w:trHeight w:val="216"/>
        </w:trPr>
        <w:tc>
          <w:tcPr>
            <w:tcW w:w="1240" w:type="dxa"/>
            <w:vAlign w:val="bottom"/>
          </w:tcPr>
          <w:p>
            <w:pPr>
              <w:jc w:val="right"/>
              <w:ind w:right="210"/>
              <w:spacing w:after="0"/>
              <w:rPr>
                <w:sz w:val="20"/>
                <w:szCs w:val="20"/>
                <w:color w:val="auto"/>
              </w:rPr>
            </w:pPr>
            <w:r>
              <w:rPr>
                <w:rFonts w:ascii="Arial" w:cs="Arial" w:eastAsia="Arial" w:hAnsi="Arial"/>
                <w:sz w:val="18"/>
                <w:szCs w:val="18"/>
                <w:color w:val="auto"/>
              </w:rPr>
              <w:t>22</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16</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14</w:t>
            </w:r>
          </w:p>
        </w:tc>
      </w:tr>
      <w:tr>
        <w:trPr>
          <w:trHeight w:val="237"/>
        </w:trPr>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23</w:t>
            </w: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17</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w:t>
            </w:r>
          </w:p>
        </w:tc>
      </w:tr>
      <w:tr>
        <w:trPr>
          <w:trHeight w:val="230"/>
        </w:trPr>
        <w:tc>
          <w:tcPr>
            <w:tcW w:w="1240" w:type="dxa"/>
            <w:vAlign w:val="bottom"/>
          </w:tcPr>
          <w:p>
            <w:pPr>
              <w:jc w:val="right"/>
              <w:ind w:right="210"/>
              <w:spacing w:after="0"/>
              <w:rPr>
                <w:sz w:val="20"/>
                <w:szCs w:val="20"/>
                <w:color w:val="auto"/>
              </w:rPr>
            </w:pPr>
            <w:r>
              <w:rPr>
                <w:rFonts w:ascii="Arial" w:cs="Arial" w:eastAsia="Arial" w:hAnsi="Arial"/>
                <w:sz w:val="18"/>
                <w:szCs w:val="18"/>
                <w:color w:val="auto"/>
              </w:rPr>
              <w:t>125</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98</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107</w:t>
            </w:r>
          </w:p>
        </w:tc>
      </w:tr>
      <w:tr>
        <w:trPr>
          <w:trHeight w:val="418"/>
        </w:trPr>
        <w:tc>
          <w:tcPr>
            <w:tcW w:w="1240" w:type="dxa"/>
            <w:vAlign w:val="bottom"/>
          </w:tcPr>
          <w:p>
            <w:pPr>
              <w:jc w:val="right"/>
              <w:ind w:right="150"/>
              <w:spacing w:after="0"/>
              <w:rPr>
                <w:sz w:val="20"/>
                <w:szCs w:val="20"/>
                <w:color w:val="auto"/>
              </w:rPr>
            </w:pPr>
            <w:r>
              <w:rPr>
                <w:rFonts w:ascii="Arial" w:cs="Arial" w:eastAsia="Arial" w:hAnsi="Arial"/>
                <w:sz w:val="18"/>
                <w:szCs w:val="18"/>
                <w:color w:val="auto"/>
              </w:rPr>
              <w:t>(25)</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2</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w:t>
            </w:r>
          </w:p>
        </w:tc>
      </w:tr>
      <w:tr>
        <w:trPr>
          <w:trHeight w:val="418"/>
        </w:trPr>
        <w:tc>
          <w:tcPr>
            <w:tcW w:w="1240" w:type="dxa"/>
            <w:vAlign w:val="bottom"/>
          </w:tcPr>
          <w:p>
            <w:pPr>
              <w:jc w:val="right"/>
              <w:ind w:right="210"/>
              <w:spacing w:after="0"/>
              <w:rPr>
                <w:sz w:val="20"/>
                <w:szCs w:val="20"/>
                <w:color w:val="auto"/>
              </w:rPr>
            </w:pPr>
            <w:r>
              <w:rPr>
                <w:rFonts w:ascii="Arial" w:cs="Arial" w:eastAsia="Arial" w:hAnsi="Arial"/>
                <w:sz w:val="18"/>
                <w:szCs w:val="18"/>
                <w:color w:val="auto"/>
              </w:rPr>
              <w:t>28</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37"/>
        </w:trPr>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w:t>
            </w: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w:t>
            </w:r>
          </w:p>
        </w:tc>
      </w:tr>
      <w:tr>
        <w:trPr>
          <w:trHeight w:val="418"/>
        </w:trPr>
        <w:tc>
          <w:tcPr>
            <w:tcW w:w="1240" w:type="dxa"/>
            <w:vAlign w:val="bottom"/>
          </w:tcPr>
          <w:p>
            <w:pPr>
              <w:jc w:val="right"/>
              <w:ind w:right="210"/>
              <w:spacing w:after="0"/>
              <w:rPr>
                <w:sz w:val="20"/>
                <w:szCs w:val="20"/>
                <w:color w:val="auto"/>
              </w:rPr>
            </w:pPr>
            <w:r>
              <w:rPr>
                <w:rFonts w:ascii="Arial" w:cs="Arial" w:eastAsia="Arial" w:hAnsi="Arial"/>
                <w:sz w:val="18"/>
                <w:szCs w:val="18"/>
                <w:color w:val="auto"/>
              </w:rPr>
              <w:t>4</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6</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w:t>
            </w:r>
          </w:p>
        </w:tc>
      </w:tr>
      <w:tr>
        <w:trPr>
          <w:trHeight w:val="237"/>
        </w:trPr>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r>
      <w:tr>
        <w:trPr>
          <w:trHeight w:val="216"/>
        </w:trPr>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
        </w:trPr>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480" w:space="720"/>
            <w:col w:w="4220"/>
          </w:cols>
          <w:pgMar w:left="240" w:top="580" w:right="239" w:bottom="1440" w:gutter="0" w:footer="0" w:header="0"/>
          <w:type w:val="continuous"/>
        </w:sectPr>
      </w:pPr>
    </w:p>
    <w:p>
      <w:pPr>
        <w:spacing w:after="0" w:line="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Summary</w:t>
      </w:r>
      <w:r>
        <w:rPr>
          <w:rFonts w:ascii="Arial" w:cs="Arial" w:eastAsia="Arial" w:hAnsi="Arial"/>
          <w:sz w:val="18"/>
          <w:szCs w:val="18"/>
          <w:color w:val="auto"/>
        </w:rPr>
        <w:t>. Over the past three years, we have organized ourselves as one segment with three product lines. Our product lines have included: i) licensing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ii) DSL test and diagnostics products, and iii) biometrics products. Our results of operations for 2009, 2008, and 2007 reflect the financial impact of these three product lines.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licensing products have consisted of: i) DSL technology products, ii) home networking technology products, and iii) patents related to DSL, home networking and other technologies. Our technology products have been licensed to semiconductor companies that sell chipsets that incorporate our technology. Our patents are sold or licensed to third parties interested in acquiring such patent rights.</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test and diagnostics products consist of DSL hardware and software products that are used by telephone companies to improve the quality of their DSL service offerings. Our test and diagnostics products are typically sold to OEMs that incorporate our products into their products. Our OEM customers sell their equipment and software products to telephone companies. We also market our test and diagnostics software directly to telephone companies.</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biometrics products consist of software and services used in biometric systems. Biometric systems are used by governments and enterprises to verify the identification of people. Biometrics systems are used in applications such as border control, secure credentialing, and background checks. We typically sell our biometrics software and services to OEMs and system integrators that incorporate our products into their biometrics hardware and software systems. We also sell a modest amount of medical imaging software that is included in our biometrics product line revenue.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23" w:name="page24"/>
    <w:bookmarkEnd w:id="23"/>
    <w:p>
      <w:pPr>
        <w:jc w:val="both"/>
        <w:spacing w:after="0" w:line="291" w:lineRule="auto"/>
        <w:rPr>
          <w:sz w:val="20"/>
          <w:szCs w:val="20"/>
          <w:color w:val="auto"/>
        </w:rPr>
      </w:pPr>
      <w:r>
        <w:rPr>
          <w:rFonts w:ascii="Arial" w:cs="Arial" w:eastAsia="Arial" w:hAnsi="Arial"/>
          <w:sz w:val="16"/>
          <w:szCs w:val="16"/>
          <w:color w:val="auto"/>
        </w:rPr>
        <w:t>On November 13, 2009, we completed a transaction in which we sold substantially all of the assets associated with our licensing product line to Lantiq for $6.75 million. Lantiq is a newly formed fabless semiconductor company that was spun out of Infineon, our largest DSL licensing customer. The sale included:</w:t>
      </w:r>
    </w:p>
    <w:p>
      <w:pPr>
        <w:ind w:right="20" w:firstLine="8"/>
        <w:spacing w:after="0" w:line="261" w:lineRule="auto"/>
        <w:tabs>
          <w:tab w:leader="none" w:pos="159"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DSL and home networking technology assets; ii) certain patents and patent applications related to those technology assets; iii) a group of 41 engineers; and iv) lab and computer equipment used by the transferred engineers.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a result of the Lantiq transaction, we will no longer derive DSL contract revenue from Infineon or Lantiq. Over the past several years, contract revenue from Infineon has ranged from $0.5 million to $1.0 million per quarter. We amended and restated the existing license agreement between us and Infineon to provide Lantiq (as successor to Infineon) certain non-exclusive licenses of our patent rights, and to continue Lantiq’s royalty obligations to Aware. We also expect to continue to derive contract revenue for engineering support and royalties per our existing agreements with Ikanos. We will not be pursuing new silicon intellectual property licensing customers for DSL or home networking applications for the foreseeable future. In addition, Aware subleased certain office and lab space to Lantiq at its main facilities in Bedford, Massachusetts. We expect that quarterly engineering expenses associated with our licensing product line will decrease by $1.7 million to $2.0 million as a result of the transfer of 41 engineers to Lantiq.</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After the sale of our licensing product line to Lantiq in November 2009, we have operated as one segment with two principal product lines: i) biometrics products; and ii) DSL test and diagnostics products. We expect that the Lantiq transaction will have a minimal impact on the future financial results of our biometrics and DSL test and diagnostics product lines. As it relates to our DSL test business, Aware and Lantiq will cooperate with one another with respect to embedded wireline diagnostics technology and products.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net income in accordance with generally accepted accounting principles (“GAAP”) for the year ended December 31, 2009 was $1.0 million, or $0.05 per share. These results reflect: i) a $6.2 million gain on the sale of assets to Lantiq and ii) licensing product results with 10 ½ months of historical revenue and expenses and 1 ½ months of post-Lantiq transaction revenue and expenses. GAAP net income for the year ended December 31, 2008 was $1.8 million, or $0.07 per share.</w:t>
      </w:r>
    </w:p>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uses the non-GAAP information internally to evaluate its operating performance and believes these non-GAAP measures are useful to investors as they provide additional insight into the underlying operating results. Our non-GAAP net income excludes the effect of stock-based compensation expense. Non-GAAP net income for the year ended December 31, 2009, excluding the effect of $1.7 million of stock-based compensation, was $2.7 million, or $0.13 per diluted share. Non-GAAP net income for the year ended December 31, 2008, excluding the effect of $1.5 million of stock-based compensation, was $3.3 million, or $0.14 per diluted share. A reconciliation of GAAP to non-GAAP results is set forth in the table below (in thousands):</w:t>
      </w:r>
    </w:p>
    <w:p>
      <w:pPr>
        <w:spacing w:after="0" w:line="181" w:lineRule="exact"/>
        <w:rPr>
          <w:sz w:val="20"/>
          <w:szCs w:val="20"/>
          <w:color w:val="auto"/>
        </w:rPr>
      </w:pPr>
    </w:p>
    <w:tbl>
      <w:tblPr>
        <w:tblLayout w:type="fixed"/>
        <w:tblInd w:w="180" w:type="dxa"/>
        <w:tblCellMar>
          <w:top w:w="0" w:type="dxa"/>
          <w:left w:w="0" w:type="dxa"/>
          <w:bottom w:w="0" w:type="dxa"/>
          <w:right w:w="0" w:type="dxa"/>
        </w:tblCellMar>
      </w:tblPr>
      <w:tr>
        <w:trPr>
          <w:trHeight w:val="241"/>
        </w:trPr>
        <w:tc>
          <w:tcPr>
            <w:tcW w:w="3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9"/>
          </w:tcPr>
          <w:p>
            <w:pPr>
              <w:ind w:left="280"/>
              <w:spacing w:after="0"/>
              <w:rPr>
                <w:sz w:val="20"/>
                <w:szCs w:val="20"/>
                <w:color w:val="auto"/>
              </w:rPr>
            </w:pPr>
            <w:r>
              <w:rPr>
                <w:rFonts w:ascii="Arial" w:cs="Arial" w:eastAsia="Arial" w:hAnsi="Arial"/>
                <w:sz w:val="18"/>
                <w:szCs w:val="18"/>
                <w:b w:val="1"/>
                <w:bCs w:val="1"/>
                <w:color w:val="auto"/>
              </w:rPr>
              <w:t>Years ended December 31,</w:t>
            </w:r>
          </w:p>
        </w:tc>
      </w:tr>
      <w:tr>
        <w:trPr>
          <w:trHeight w:val="223"/>
        </w:trPr>
        <w:tc>
          <w:tcPr>
            <w:tcW w:w="3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2009</w:t>
            </w: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2008</w:t>
            </w: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19"/>
                <w:szCs w:val="19"/>
                <w:color w:val="auto"/>
              </w:rPr>
            </w:pPr>
          </w:p>
        </w:tc>
      </w:tr>
      <w:tr>
        <w:trPr>
          <w:trHeight w:val="202"/>
        </w:trPr>
        <w:tc>
          <w:tcPr>
            <w:tcW w:w="3300" w:type="dxa"/>
            <w:vAlign w:val="bottom"/>
          </w:tcPr>
          <w:p>
            <w:pPr>
              <w:spacing w:after="0" w:line="201" w:lineRule="exact"/>
              <w:rPr>
                <w:sz w:val="20"/>
                <w:szCs w:val="20"/>
                <w:color w:val="auto"/>
              </w:rPr>
            </w:pPr>
            <w:r>
              <w:rPr>
                <w:rFonts w:ascii="Arial" w:cs="Arial" w:eastAsia="Arial" w:hAnsi="Arial"/>
                <w:sz w:val="18"/>
                <w:szCs w:val="18"/>
                <w:color w:val="auto"/>
              </w:rPr>
              <w:t>GAAP net income</w:t>
            </w:r>
          </w:p>
        </w:tc>
        <w:tc>
          <w:tcPr>
            <w:tcW w:w="20" w:type="dxa"/>
            <w:vAlign w:val="bottom"/>
          </w:tcPr>
          <w:p>
            <w:pPr>
              <w:spacing w:after="0"/>
              <w:rPr>
                <w:sz w:val="17"/>
                <w:szCs w:val="17"/>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rPr>
              <w:t>982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Pr>
          <w:p>
            <w:pPr>
              <w:ind w:left="260"/>
              <w:spacing w:after="0" w:line="201" w:lineRule="exact"/>
              <w:rPr>
                <w:sz w:val="20"/>
                <w:szCs w:val="20"/>
                <w:color w:val="auto"/>
              </w:rPr>
            </w:pPr>
            <w:r>
              <w:rPr>
                <w:rFonts w:ascii="Arial" w:cs="Arial" w:eastAsia="Arial" w:hAnsi="Arial"/>
                <w:sz w:val="18"/>
                <w:szCs w:val="18"/>
                <w:color w:val="auto"/>
                <w:w w:val="84"/>
              </w:rPr>
              <w:t>1,776</w:t>
            </w:r>
          </w:p>
        </w:tc>
        <w:tc>
          <w:tcPr>
            <w:tcW w:w="20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160</w:t>
            </w:r>
          </w:p>
        </w:tc>
        <w:tc>
          <w:tcPr>
            <w:tcW w:w="20" w:type="dxa"/>
            <w:vAlign w:val="bottom"/>
          </w:tcPr>
          <w:p>
            <w:pPr>
              <w:spacing w:after="0"/>
              <w:rPr>
                <w:sz w:val="17"/>
                <w:szCs w:val="17"/>
                <w:color w:val="auto"/>
              </w:rPr>
            </w:pPr>
          </w:p>
        </w:tc>
      </w:tr>
      <w:tr>
        <w:trPr>
          <w:trHeight w:val="237"/>
        </w:trPr>
        <w:tc>
          <w:tcPr>
            <w:tcW w:w="33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1,737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1,505</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1,138</w:t>
            </w:r>
          </w:p>
        </w:tc>
        <w:tc>
          <w:tcPr>
            <w:tcW w:w="20" w:type="dxa"/>
            <w:vAlign w:val="bottom"/>
          </w:tcPr>
          <w:p>
            <w:pPr>
              <w:spacing w:after="0"/>
              <w:rPr>
                <w:sz w:val="20"/>
                <w:szCs w:val="20"/>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Non-GAAP net income</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2,719</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84"/>
              </w:rPr>
              <w:t>3,281</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20" w:type="dxa"/>
            <w:vAlign w:val="bottom"/>
          </w:tcPr>
          <w:p>
            <w:pPr>
              <w:spacing w:after="0"/>
              <w:rPr>
                <w:sz w:val="18"/>
                <w:szCs w:val="18"/>
                <w:color w:val="auto"/>
              </w:rPr>
            </w:pPr>
          </w:p>
        </w:tc>
      </w:tr>
      <w:tr>
        <w:trPr>
          <w:trHeight w:val="21"/>
        </w:trPr>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180" w:type="dxa"/>
        <w:tblCellMar>
          <w:top w:w="0" w:type="dxa"/>
          <w:left w:w="0" w:type="dxa"/>
          <w:bottom w:w="0" w:type="dxa"/>
          <w:right w:w="0" w:type="dxa"/>
        </w:tblCellMar>
      </w:tblPr>
      <w:tr>
        <w:trPr>
          <w:trHeight w:val="241"/>
        </w:trPr>
        <w:tc>
          <w:tcPr>
            <w:tcW w:w="3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40" w:type="dxa"/>
            <w:vAlign w:val="bottom"/>
            <w:gridSpan w:val="9"/>
          </w:tcPr>
          <w:p>
            <w:pPr>
              <w:ind w:left="260"/>
              <w:spacing w:after="0"/>
              <w:rPr>
                <w:sz w:val="20"/>
                <w:szCs w:val="20"/>
                <w:color w:val="auto"/>
              </w:rPr>
            </w:pPr>
            <w:r>
              <w:rPr>
                <w:rFonts w:ascii="Arial" w:cs="Arial" w:eastAsia="Arial" w:hAnsi="Arial"/>
                <w:sz w:val="18"/>
                <w:szCs w:val="18"/>
                <w:b w:val="1"/>
                <w:bCs w:val="1"/>
                <w:color w:val="auto"/>
              </w:rPr>
              <w:t>Years ended December 31,</w:t>
            </w:r>
          </w:p>
        </w:tc>
      </w:tr>
      <w:tr>
        <w:trPr>
          <w:trHeight w:val="223"/>
        </w:trPr>
        <w:tc>
          <w:tcPr>
            <w:tcW w:w="3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2009</w:t>
            </w: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2008</w:t>
            </w: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19"/>
                <w:szCs w:val="19"/>
                <w:color w:val="auto"/>
              </w:rPr>
            </w:pP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GAAP net income per share</w:t>
            </w:r>
          </w:p>
        </w:tc>
        <w:tc>
          <w:tcPr>
            <w:tcW w:w="20" w:type="dxa"/>
            <w:vAlign w:val="bottom"/>
          </w:tcPr>
          <w:p>
            <w:pPr>
              <w:spacing w:after="0"/>
              <w:rPr>
                <w:sz w:val="17"/>
                <w:szCs w:val="17"/>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0.05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rPr>
              <w:t>0.07</w:t>
            </w:r>
          </w:p>
        </w:tc>
        <w:tc>
          <w:tcPr>
            <w:tcW w:w="200" w:type="dxa"/>
            <w:vAlign w:val="bottom"/>
          </w:tcPr>
          <w:p>
            <w:pPr>
              <w:spacing w:after="0"/>
              <w:rPr>
                <w:sz w:val="17"/>
                <w:szCs w:val="17"/>
                <w:color w:val="auto"/>
              </w:rPr>
            </w:pPr>
          </w:p>
        </w:tc>
        <w:tc>
          <w:tcPr>
            <w:tcW w:w="18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201" w:lineRule="exact"/>
              <w:rPr>
                <w:sz w:val="20"/>
                <w:szCs w:val="20"/>
                <w:color w:val="auto"/>
              </w:rPr>
            </w:pPr>
            <w:r>
              <w:rPr>
                <w:rFonts w:ascii="Arial" w:cs="Arial" w:eastAsia="Arial" w:hAnsi="Arial"/>
                <w:sz w:val="18"/>
                <w:szCs w:val="18"/>
                <w:color w:val="auto"/>
              </w:rPr>
              <w:t>0.01</w:t>
            </w:r>
          </w:p>
        </w:tc>
        <w:tc>
          <w:tcPr>
            <w:tcW w:w="20" w:type="dxa"/>
            <w:vAlign w:val="bottom"/>
          </w:tcPr>
          <w:p>
            <w:pPr>
              <w:spacing w:after="0"/>
              <w:rPr>
                <w:sz w:val="17"/>
                <w:szCs w:val="17"/>
                <w:color w:val="auto"/>
              </w:rPr>
            </w:pPr>
          </w:p>
        </w:tc>
      </w:tr>
      <w:tr>
        <w:trPr>
          <w:trHeight w:val="237"/>
        </w:trPr>
        <w:tc>
          <w:tcPr>
            <w:tcW w:w="3340" w:type="dxa"/>
            <w:vAlign w:val="bottom"/>
          </w:tcPr>
          <w:p>
            <w:pPr>
              <w:spacing w:after="0"/>
              <w:rPr>
                <w:sz w:val="20"/>
                <w:szCs w:val="20"/>
                <w:color w:val="auto"/>
              </w:rPr>
            </w:pPr>
            <w:r>
              <w:rPr>
                <w:rFonts w:ascii="Arial" w:cs="Arial" w:eastAsia="Arial" w:hAnsi="Arial"/>
                <w:sz w:val="18"/>
                <w:szCs w:val="18"/>
                <w:color w:val="auto"/>
              </w:rPr>
              <w:t>Stock-based compensation per share</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0.08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0.07</w:t>
            </w:r>
          </w:p>
        </w:tc>
        <w:tc>
          <w:tcPr>
            <w:tcW w:w="18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0.04</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Non-GAAP net income per share</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0.13</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20" w:type="dxa"/>
            <w:vAlign w:val="bottom"/>
          </w:tcPr>
          <w:p>
            <w:pPr>
              <w:spacing w:after="0"/>
              <w:rPr>
                <w:sz w:val="18"/>
                <w:szCs w:val="18"/>
                <w:color w:val="auto"/>
              </w:rPr>
            </w:pPr>
          </w:p>
        </w:tc>
      </w:tr>
      <w:tr>
        <w:trPr>
          <w:trHeight w:val="21"/>
        </w:trPr>
        <w:tc>
          <w:tcPr>
            <w:tcW w:w="3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Sales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Product sales consist primarily of revenue from the sale of hardware and software products. Hardware products consist primarily of DSL test and diagnostics modules. Software products consist of software products, including maintenance contracts, for biometric, medical imaging and digital imaging applications, as well as DSL test and diagnostics software.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4" w:name="page25"/>
    <w:bookmarkEnd w:id="24"/>
    <w:p>
      <w:pPr>
        <w:jc w:val="both"/>
        <w:spacing w:after="0" w:line="255" w:lineRule="auto"/>
        <w:rPr>
          <w:sz w:val="20"/>
          <w:szCs w:val="20"/>
          <w:color w:val="auto"/>
        </w:rPr>
      </w:pPr>
      <w:r>
        <w:rPr>
          <w:rFonts w:ascii="Arial" w:cs="Arial" w:eastAsia="Arial" w:hAnsi="Arial"/>
          <w:sz w:val="18"/>
          <w:szCs w:val="18"/>
          <w:color w:val="auto"/>
        </w:rPr>
        <w:t>Product sales increased 10% from $14.0 million in 2008 to $15.4 million in 2009. As a percentage of total revenue, product sales increased from 46% in 2008 to 70% in 2009. The dollar increase in product sales was primarily due to a $1.7 million increase in revenue from the sale of test and diagnostic hardware and software, which was partially offset by a $0.3 million decrease in revenue from the sale of biometrics software. The $1.7 million increase in revenue from the sale of test and diagnostic products was mainly attributable to: 1) a $1.3 million increase in software revenue from two large customers, and 2) a $0.4 million increase in hardware revenue. The $0.3 million decrease in revenue from the sale of biometrics software was primarily due to challenging economic conditions in the first half of 2009.</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the Lantiq transaction to materially affect future product sales.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Product sales decreased 20% from $17.5 million in 2007 to $14.0 million in 2008. As a percentage of total revenue, product sales decreased from 66% in 2007 to 46% in 2008. The dollar decrease in product sales was primarily due to a $5.4 million decrease in revenue from the sale of test and diagnostic hardware and software, which was partially offset by a $1.9 million increase in revenue from the sale of biometrics software. The decrease in revenue from the sale of test and diagnostic products was mainly attributable to: 1) significant sales to three OEM customers in 2007 that did not reoccur at those volumes in 2008; and 2) a challenging telecommunications test equipment environment.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Revenue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Contract revenue consists of patent, license and engineering service fees that we receive under agreements relating to the sale or license of Aware’s patents, DSL technology, DSL test and diagnostic technology, and biometrics technology.</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Contract revenue decreased 69% from $14.7 million in 2008 to $4.6 million in 2009. As a percentage of total revenue, contract revenue decreased from 48% in 2008 to 21% in 2009. The dollar decrease was primarily due to an $8.5 million sale of patents that occurred in 2008. There were no patent sales in 2009. Although there were no patent sales in 2009, we intend to continue to sell and/or license additional patents in the future, subject to customer demand and favorable terms and conditions. Also in 2009, contract revenue decreased by $1.7 million for revenue from biometrics professional services contracts as a result of the completion of a significant project.</w:t>
      </w:r>
    </w:p>
    <w:p>
      <w:pPr>
        <w:spacing w:after="0" w:line="21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Contract revenue decreases from patent sales and biometrics professional services contracts were slightly offset by a $0.2 million increase in revenue from DSL technology contracts. Notwithstanding the small increase in 2009, we expect that contract revenue from DSL technology contracts will decline by $0.5 million to $1.0 million per quarter as a result of the Lantiq transaction beginning in the first quarter of 2010. Contract revenue in future quarters is expected to consist of revenue from some or all of the following sources: 1) Ikanos; 2) biometrics technology contracts; and 3) sales and/or licenses of patents. We will not be pursuing new silicon IP licensing customers for DSL or home networking applications in the foreseeable future.</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Contract revenue increased 131% from $6.3 million in 2007 to $14.7 million in 2008. As a percentage of total revenue, contract revenue increased from 24% in 2007 to 48% in 2008. The dollar increase was primarily due to an $8.5 million sale of patents relating to communications technology in 2008, whereas there were no patent sales in 2007. Also in 2008, contract revenue increased by $2.8 million for revenue from biometrics professional services contracts as a result of our expansion into the biometrics services business. Contract revenue increases from patent sales and biometrics professional services contracts were partially offset by a $2.7 million decrease in revenue from DSL silicon IP contracts with our semiconductor customers.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Royalties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Royalties consist of royalty payments that we receive under agreements with our customers. We receive royalties from customers for rights to Aware technology and/or patents, typically associated with the incorporation of Aware technology and/or patents in customer chipsets or solutions.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Royalties increased 12% from $1.8 million in 2008 to $2.1 million in 2009. As a percentage of total revenue, royalties increased from 6% in 2008 to 9% in 2009. The dollar increase in royalties was due to a $0.3 million increase in DSL royalties from Lantiq/Infineon and Ikanos.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5" w:name="page26"/>
    <w:bookmarkEnd w:id="25"/>
    <w:p>
      <w:pPr>
        <w:jc w:val="both"/>
        <w:spacing w:after="0" w:line="255" w:lineRule="auto"/>
        <w:rPr>
          <w:sz w:val="20"/>
          <w:szCs w:val="20"/>
          <w:color w:val="auto"/>
        </w:rPr>
      </w:pPr>
      <w:r>
        <w:rPr>
          <w:rFonts w:ascii="Arial" w:cs="Arial" w:eastAsia="Arial" w:hAnsi="Arial"/>
          <w:sz w:val="18"/>
          <w:szCs w:val="18"/>
          <w:color w:val="auto"/>
        </w:rPr>
        <w:t>Our royalty revenue currently comes predominantly from ADSL chipset sales by Ikanos and ADSL and VDSL chipset sales by Lantiq (formerly Infineon). The Lantiq transaction will not alter the royalty obligations of Ikanos or Lantiq, which we expect to continue per the existing agreements with those parties. We remain uncertain as to whether these licensees will be able to maintain their market shares and chipset prices in the face of intense competition, and whether our relationships with them will contribute meaningful royalties to us in the future. Also, as a result of the Lantiq transaction, we will not be pursuing new silicon intellectual property licensing customers for DSL or home networking applications in the foreseeable future that might lead to royalties from new customers.</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Royalties decreased 30% from $2.6 million in 2007 to $1.8 million in 2008. As a percentage of total revenue, royalties decreased from 10% in 2007 to 6% in 2008. The dollar decrease in royalties was due to a $0.7 million decrease in DSL royalties, and a $0.1 million decrease in biometrics and medical imaging royalties.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 the cost of software product sales is minimal, cost of product sales consists primarily of the cost of hardware product sales.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product sales increased 12% from $2.6 million in 2008 to $2.9 million in 2009. As a percentage of product sales, cost of product sales increased from 18% in 2008 to 19% in 2009, which resulted in gross margins on product sales decreasing from to 82% to 81%. The dollar increase in cost of product sales in 2009 was primarily attributable to a $0.4 million increase in hardware product sales. The decrease in gross margins on product sales was primarily due to a slightly lower proportion of software sales in the product sales mix.</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product sales decreased 35% from $4.0 million in 2007 to $2.6 million in 2008. As a percentage of product sales, cost of product sales decreased from 23% in 2007 to 18% in 2008, which resulted in gross margins on product sales increasing from 77% to 82%. The dollar decrease in cost of product sales in 2008 was attributable to a $2.8 million decrease in hardware product sales. The increase in gross margins on product sales was primarily due to a greater proportion of software sales in the product sales mix.</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Contract Revenue</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Cost of contract revenue consists primarily of compensation costs for engineers and expenses for consultants, technology licensing fees, recruiting, supplies, equipment, depreciation and facilities associated with customer development projects. Our total engineering costs are allocated between cost of contract revenue and research and development expense. In a given period, the allocation of engineering costs between cost of contract revenue and research and development is a function of the level of effort expended on each. Commencing in the fourth quarter of 2007, cost of contract revenue also includes direct expenses for third party contractors and consultants for biometrics professional services contracts.</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Cost of contract revenue decreased 31% from $4.2 million in 2008 to $2.9 million in 2009. As a percentage of contract revenue, cost of contract revenue increased from 29% in 2008 to 63% in 2009, which resulted in gross margins on contract revenue decreasing from 71% to 37%. The $1.3 million decrease in cost of contract revenue was primarily due to lower contract revenue from biometrics professional services contracts. The significant decrease in gross margins on contract revenue was due to: 1) no contract revenue from patent sales in 2009 as compared to $8.5 million of such revenue in 2008 (patent sales have had no associated cost of contract revenue); and 2) a decrease in contract revenue from biometrics contracts.</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 of contract revenue decreased 23% from $5.4 million in 2007 to $4.2 million in 2008. As a percentage of contract revenue, cost of contract revenue decreased from 86% in 2007 to 29% in 2008, which resulted in gross margins on contract revenue increasing from 14% to 71%. The $1.2 million decrease in cost of contract revenue was primarily due to lower DSL contract revenue. Lower cost of contract revenue from DSL contracts was partially offset by increased cost of contract revenue from biometrics professional services contracts, which was due to increased revenue from such contracts. The significant increase in gross margins on contract revenue was due to: 1) an $8.5 million patent sale which had no cost of contract revenue associated with it; and 2) an increase in contract revenue from biometrics contracts.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Research and development expense consists primarily of compensation costs for engineers and expenses for consultants, recruiting, supplies, equipment, depreciation and facilities related to engineering projects to improve our communications, test, biometrics and imaging technology, as well as our software and hardware products. Our total engineering costs are allocated between cost of contract revenue and research and development expense. In a given period, the allocation of engineering costs between cost of contract revenue and research and development is a function of the level of effort expended on each.</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expense decreased 9% from $13.2 million in 2008 to $11.9 million in 2009. As a percentage of total revenue, research and development expense increased from 43% in 2008 to 54% in 2009. The dollar decrease in research and development expense was primarily due to: 1) lower engineering spending associated with our licensing product line in the last 1 ½ months of the year as a result of the transfer of 41 engineers to Lantiq in mid-November 2009, and 2) lower engineering spending on our licensing product line in the first 10 ½ months of 2009 as compared with the same 10 ½ month period in 2008.</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the closing of the Lantiq transaction in mid-November 2009, our research and development spending had been principally focused on developing analog and digital silicon IP solutions for broadband communications and home networking applications, developing test and diagnostics hardware and software, and developing biometrics and imaging software. After the Lantiq transaction, our future research and development activities will be focused on developing biometrics and imaging software, and developing test and diagnostics hardware and software. We will also continue to expand our patent portfolio.</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Lantiq transaction, we expect that our future engineering expenses will decrease by $1.7 million to $2.0 million per quarter due to the transfer of 41 engineers to Lantiq. This future period expense reduction will appear on the research and development expense and cost of contract revenue lines of our consolidated statements of operations as we allocate engineering expenses to both of these expense classifications. The full financial impact of this expense reduction will begin in the first quarter of 2010.</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expense increased 21% from $10.9 million in 2007 to $13.2 million in 2008. As a percentage of total revenue, research and development expense increased from 41% in 2007 to 43% in 2008. The dollar increase in research and development expense was primarily due to a shift of engineering resources from DSL customer contracts (i.e., cost of contract revenue) to internal development projects (i.e., research and development expense). This resource shift reduced the amount of engineering expenses we allocated to cost of contract revenue, which increased research and development expense to reflect our increased focus on internal projects.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Selling and marketing expense consists primarily of compensation costs for sales and marketing personnel, travel, advertising and promotion, recruiting, and facilities expense.</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and marketing expense were $4.7 million in 2008 and 2009. As a percentage of total revenue, sales and marketing expense increased from 16% in 2008 to 21% in 2009. Level sales and marketing expenses in 2009 were the result of higher spending in our biometrics sales organization, which was offset by lower spending in our licensing sales organization.</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Since the Lantiq transaction did not involve any of our sales or marketing personnel, the transaction will have a minimal impact on future sales and marketing expenses.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Sales and marketing expense increased 27% from $3.7 million in 2007 to $4.7 million in 2008. As a percentage of total revenue, sales and marketing expense increased from 14% in 2007 to 16% in 2008. The dollar increase in sales and marketing expense was mainly attributable to headcount growth in the biometrics sales organization, sales commissions on higher biometrics software sales, and sales commissions related to higher contract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 consists primarily of compensation costs for administrative personnel, facility costs, bad debt, audit, legal, stock exchange and insurance expenses.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7" w:name="page28"/>
    <w:bookmarkEnd w:id="27"/>
    <w:p>
      <w:pPr>
        <w:jc w:val="both"/>
        <w:spacing w:after="0" w:line="286" w:lineRule="auto"/>
        <w:rPr>
          <w:sz w:val="20"/>
          <w:szCs w:val="20"/>
          <w:color w:val="auto"/>
        </w:rPr>
      </w:pPr>
      <w:r>
        <w:rPr>
          <w:rFonts w:ascii="Arial" w:cs="Arial" w:eastAsia="Arial" w:hAnsi="Arial"/>
          <w:sz w:val="17"/>
          <w:szCs w:val="17"/>
          <w:color w:val="auto"/>
        </w:rPr>
        <w:t>General and administrative expense decreased 2% from $5.2 million in 2008 to $5.1 million in 2009. As a percentage of total revenue, general and administrative expense increased from 17% in 2008 to 23% in 2009. The dollar decrease in general and administrative expense was mainly attributable to lower spending on legal fees for litigation and patent filings, which was partially offset by higher stock-based compensation expenses.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Since the Lantiq transaction did not involve any of our administrative personnel, the transaction will have a minimal impact on future general and administrative expenses.</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General and administrative expense increased 23% from $4.2 million in 2007 to $5.2 million in 2008. As a percentage of total revenue, general and administrative expense increased from 16% in 2007 to 17% in 2008. The dollar increase in general and administrative expense was mainly attributable to higher legal fees related to patent filings and a lawsuit we filed against a customer, merit salary increases, and higher stock-based compensation expense.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Assets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sold substantially all of the assets associated with our home networking and DSL technology to Lantiq for $6.75 million. We recorded a gain on the sale of assets of $6.2 million. The gain reflects $6.75 million of proceeds from Lantiq less the following items: i) the net book value of assets transferred to Lantiq; ii) the write-off of certain prepaid assets that had no economic value after the sale; and iii) transaction costs.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decreased 80%, or $0.9 million, from $1.2 million in 2008 to $0.2 million in 2009. The dollar decrease in interest income was primarily due to a significant fall in money market interest rates during 2009.</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Interest income decreased 42%, or $0.8 million, from $2.0 million in 2007 to $1.2 million in 2008. The dollar decrease in interest income was primarily due to a significant fall in money market interest rates during 2008. The decrease was also due to our decision to liquidate our portfolio of auction rate securities and longer term debt instruments early in 2008 and invest the proceeds into a lower-yielding, shorter-term, money market fund.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income taxes in the United States and we use estimates in determining our provisions for income taxes. We account for income taxes in accordance with Accounting Standards Codification Topic 740 (ASC 740), which is the asset and liability method for accounting and reporting for income taxes. Under ASC 740, deferred tax assets and liabilities are recognized based on temporary differences between the financial reporting and income tax bases of assets and liabilities using statutory rates.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made no provision for income taxes in the years ended 2009, 2008 and 2007, except for $4,000, $16,000, and $26,000 of state excise taxes paid in each year, respectively.</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2009, we had U.S. federal net operating loss carryforwards for income tax purposes of $47.6 million that expire beginning in 2010 and state net operating loss carryforwards of $10.3 million that expire beginning in 2010. We also had U.S. federal tax credits of $13.4 million that expire beginning in 2010 and state research and development credits of $7.1 million that expire beginning in 2010. The Internal Revenue Code contains provisions that limit the net operating loss and tax credit carryforwards available to be used in any given year in the event of certain circumstances, including significant changes in ownership interests, as defined.</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Due to the uncertainty surrounding the realization of our deferred tax assets, based principally on our significant historical operating losses, we have provided a full valuation allowance against our various tax attributes. We will assess the level of valuation allowance required in future periods. Should more positive than negative evidence regarding the realizability of tax attributes exist at a future point in time, the valuation allowance may be reduced or eliminated altogether. Reduction of the valuation allowance, in whole or in part, would result in a non-cash reduction in income tax expense during the period of reduction.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Since our inception in March 1986, we have financed our activities primarily through the sale of stock, although in 2009 and 2008 we repurchased more of our stock than we issued. In the years ended December 31, 2009, 2008, and 2007, we received net proceeds from the issuance of stock under employee stock plans of $7,000, $0.4 million, and $0.6 million, respectively. In the years ended December 31, 2009, 2008, and 2007, we spent $9.0 million, $2.4 million and $38,000, respectively, to repurchase our stock under a share repurchase program and a Dutch auction tender offer authorized by the board of directors.</w:t>
      </w:r>
    </w:p>
    <w:p>
      <w:pPr>
        <w:spacing w:after="0" w:line="181"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In the years ended December 31, 2009 and 2007, our operating activities used net cash of $3.4 million and $1.3 million, respectively. Cash used in our operating activities in 2009 was primarily the result of an operating loss of $5.5 million, which was decreased for non-cash items related to depreciation and amortization of $0.8 million, and stock-based compensation expense of $1.7 million, and which was increased by higher working capital requirements of $0.7 million. Cash used in our operating activities in 2007 was primarily the result of net income of $0.2 million, which was increased for non-cash items related to depreciation and amortization of $0.9 million, and stock-based compensation expense of $1.1 million, but which was more than offset by higher working capital requirements of $3.4 million. In the year ended December 31, 2008, our operating activities provided net cash of $9.4 million. Cash provided by operating activities in 2008 was primarily the result of net income of $1.8 million, which was increased for non-cash items related to depreciation and amortization of $0.9 million, and stock-based compensation expense of $1.5 million. Also in 2008, we increased cash from operating activities by $5.2 million by lowering our working capital requirements.</w:t>
      </w:r>
    </w:p>
    <w:p>
      <w:pPr>
        <w:spacing w:after="0" w:line="20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the years ended December 31, 2009, 2008, and 2007, we made capital expenditures of $0.2 million, $0.4 million, and $0.6 million, respectively. Capital expenditures in all three years primarily consisted of spending on computer hardware and software and laboratory equipment used principally in engineering activities. We have no material commitments for capital expenditures. In the year ended December 31, 2009, we also received net proceeds from the sale of our licensing business of $6.7 million.</w:t>
      </w:r>
    </w:p>
    <w:p>
      <w:pPr>
        <w:spacing w:after="0" w:line="21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At December 31, 2009, we had cash and cash equivalents of $39.7 million. While we can not assure you that we will not require additional financing, or that such financing will be available to us, we believe that our cash and cash equivalents will be sufficient to fund our operations for at least the next twelve months.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date, inflation has not had a material impact on our financial results. There can be no assurance, however, that inflation will not adversely affect our financial results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do not have any arrangements with unconsolidated entities, such as entities often referred to as structured finance, special purpose entities or variable interest entities which are often established for the purpose of facilitating off-balance sheet arrangements or other contractually narrow or limited purposes. Accordingly, we are not exposed to any financing, liquidity, market or credit risk that could arise if we had such relationships.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We have various contractual obligations impacting our liquidity. The following represents our contractual obligations as of December 31, 2009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450"/>
              <w:spacing w:after="0"/>
              <w:rPr>
                <w:sz w:val="20"/>
                <w:szCs w:val="20"/>
                <w:color w:val="auto"/>
              </w:rPr>
            </w:pPr>
            <w:r>
              <w:rPr>
                <w:rFonts w:ascii="Arial" w:cs="Arial" w:eastAsia="Arial" w:hAnsi="Arial"/>
                <w:sz w:val="18"/>
                <w:szCs w:val="18"/>
                <w:color w:val="auto"/>
              </w:rPr>
              <w:t>Payments Due By Period</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w w:val="84"/>
              </w:rPr>
              <w:t>Less than</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w w:val="98"/>
              </w:rPr>
              <w:t>More than</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Contractual Obligations</w:t>
            </w:r>
          </w:p>
        </w:tc>
        <w:tc>
          <w:tcPr>
            <w:tcW w:w="3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 year</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1-3 years</w:t>
            </w:r>
          </w:p>
        </w:tc>
        <w:tc>
          <w:tcPr>
            <w:tcW w:w="20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 years</w:t>
            </w:r>
          </w:p>
        </w:tc>
        <w:tc>
          <w:tcPr>
            <w:tcW w:w="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 years</w:t>
            </w:r>
          </w:p>
        </w:tc>
        <w:tc>
          <w:tcPr>
            <w:tcW w:w="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80" w:type="dxa"/>
            <w:vAlign w:val="bottom"/>
          </w:tcPr>
          <w:p>
            <w:pPr>
              <w:spacing w:after="0"/>
              <w:rPr>
                <w:sz w:val="24"/>
                <w:szCs w:val="24"/>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Operating leases</w:t>
            </w:r>
          </w:p>
        </w:tc>
        <w:tc>
          <w:tcPr>
            <w:tcW w:w="38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655"/>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Purchase orders</w:t>
            </w:r>
          </w:p>
        </w:tc>
        <w:tc>
          <w:tcPr>
            <w:tcW w:w="3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Total</w:t>
            </w:r>
          </w:p>
        </w:tc>
        <w:tc>
          <w:tcPr>
            <w:tcW w:w="36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60" w:type="dxa"/>
            <w:vAlign w:val="bottom"/>
            <w:vMerge w:val="restart"/>
          </w:tcPr>
          <w:p>
            <w:pPr>
              <w:jc w:val="right"/>
              <w:ind w:right="110"/>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8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36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07" w:right="21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consider certain accounting policies related to revenue recognition, stock-based compensation, income taxes, inventories, and the allowance for doubtful accounts to be critical policies.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Revenue recognition</w:t>
      </w:r>
      <w:r>
        <w:rPr>
          <w:rFonts w:ascii="Arial" w:cs="Arial" w:eastAsia="Arial" w:hAnsi="Arial"/>
          <w:sz w:val="17"/>
          <w:szCs w:val="17"/>
          <w:color w:val="auto"/>
        </w:rPr>
        <w:t>. We derive our revenue from three sources (i) product revenue, which includes revenue from the sale of hardware and software products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DSL test and diagnostics market and software products for the biometrics, medical and digital imaging markets, (ii) contract revenue, which primarily includes engineering service fees for DSL and biometrics projects as well as patent sales and/or licenses, and (iii) royalties.</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prescribed by Accounting Standards Codification (“ASC”) Topic 605, Revenue Recognition, we recognize revenue when there is persuasive evidence of an arrangement, the sales price is fixed or determinable, collection of the related receivable is reasonably assured, and delivery has occurred or services have been rendered. We also apply the software revenue recognition principles set forth in section 965 of ASC 605, when recognizing software revenue.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As described below, we make significant judgments during the process of determining revenue for any particular accounting period.</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determining revenue recognition, we assess whether fees associated with revenue transactions are fixed or determinable based on the terms of the contract and based on payment terms. If the fee is not fixed or determinable, we defer the fee and recognize revenue as amounts become due and payable. We assess whether collection is reasonably assured based on a number of factors, including past transaction history with the customer and the credit-worthiness of the customer. If we determine that collection of a fee is not reasonably assured, we defer the fee and recognize revenue at the time collection becomes reasonably assured.</w:t>
      </w:r>
    </w:p>
    <w:p>
      <w:pPr>
        <w:spacing w:after="0" w:line="21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addition to these general revenue recognition judgments, we make specific judgments with respect to the recognition of multiple element revenue arrangements. When our agreements include the delivery of multiple revenue elements, such as software licenses, software maintenance or engineering services, we must assess whether we have vendor specific evidence for undelivered elements and apply the principles set forth in ASC 605.</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revenue recognition policies are described more fully in Note 2, Summary of Significant Accounting Policies, in the Notes to our Consolidated Financial Statements.</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 xml:space="preserve">Stock-Based Compensation. </w:t>
      </w:r>
      <w:r>
        <w:rPr>
          <w:rFonts w:ascii="Arial" w:cs="Arial" w:eastAsia="Arial" w:hAnsi="Arial"/>
          <w:sz w:val="17"/>
          <w:szCs w:val="17"/>
          <w:color w:val="auto"/>
        </w:rPr>
        <w:t>Stock-based compensation cost is measured at the grant date, based on the fair value of the award, and is recognized as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expense over the employee’s requisite service period (generally the vesting period of the equity award) under the provisions of ASC Topic 718.</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estimate the fair value of stock options using the Black-Scholes valuation model. This valuation model takes into account the exercise price of the award, as well as a variety of significant assumptions. These assumptions used to estimate the fair value of stock options include the expected term, the expected volatility of our stock over the expected term, the risk-free interest rate over the expected term, and our expected annual dividend yield. We believe that the valuation technique and the approach utilized to develop the underlying assumptions are appropriate in calculating the fair values of stock options we grant to employees and directors which are subject to ASC 718 requirements. Estimates of fair value are not intended to predict actual future events or the value ultimately realized by persons who receive equity awards.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As part of the process of preparing our consolidated financial statements we are required to estimate our actual current tax expense. We must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also estimate temporary and permanent differences that result from differing treatment of certain items for tax and accounting purposes. These differences result in deferred tax assets and liabilities, which are included in our consolidated balance sheet. We must then assess the likelihood that our deferred tax assets will be recovered from future taxable income and to the extent we believe recovery is not likely, we must establish a valuation allowance. To the extent we establish a valuation allowance or increase this allowance in a period for deferred tax assets, which have been recognized, we must include an expense with the tax provision in the statement of operations.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Significant management judgment is required in determining our provision for income taxes, our deferred tax assets, and any valuation allowance recorded against our net deferred tax assets. Our deferred tax assets primarily relate to net operating losses and research and development tax credits that we are carrying forward into future tax periods. As of December 31, 2009, we had a total of $42.8 million of deferred tax assets for which we had recorded a full valuation allowance.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0" w:name="page31"/>
    <w:bookmarkEnd w:id="30"/>
    <w:p>
      <w:pPr>
        <w:jc w:val="both"/>
        <w:spacing w:after="0" w:line="264" w:lineRule="auto"/>
        <w:rPr>
          <w:sz w:val="20"/>
          <w:szCs w:val="20"/>
          <w:color w:val="auto"/>
        </w:rPr>
      </w:pPr>
      <w:r>
        <w:rPr>
          <w:rFonts w:ascii="Arial" w:cs="Arial" w:eastAsia="Arial" w:hAnsi="Arial"/>
          <w:sz w:val="18"/>
          <w:szCs w:val="18"/>
          <w:color w:val="auto"/>
        </w:rPr>
        <w:t>We adopted the guidance related to uncertain tax positions on January 1, 2007. The implementation of this guidance did not materially affect our financial position or results of operations. At the date of adoption of January 1, 2007 and also at December 31, 2007, 2008, and 2009 we had no unrecognized tax benefits. We recognize interest and penalties related to uncertain tax positions in income tax expense.</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Inventories, which include materials and our contract manufacturer’s labor and overhead, are stated at the lower of cost (first-in, first-out basis)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net realizable value. On a quarterly basis, we use consistent methodologies to evaluate all inventories for net realizable value. We record provisions for both excess and obsolete inventory when such write-downs or write-offs are identified through the quarterly review process. The inventory valuation is based upon assumptions about future demand, product mix and possible alternative uses.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Allowance for doubtful accounts. </w:t>
      </w:r>
      <w:r>
        <w:rPr>
          <w:rFonts w:ascii="Arial" w:cs="Arial" w:eastAsia="Arial" w:hAnsi="Arial"/>
          <w:sz w:val="18"/>
          <w:szCs w:val="18"/>
          <w:color w:val="auto"/>
        </w:rPr>
        <w:t>We make judgments as to our ability to collect outstanding receivables and provide allowances for receivables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collection becomes doubtful. Provisions are made based upon a specific review of all significant outstanding invoices. If the judgments we make to determine the allowance for doubtful accounts do not reflect the future ability to collect outstanding receivables, additional provisions for doubtful accounts may be required.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describe below recent pronouncements that have had or may have a significant effect on our financial statements. We do not discuss recent pronouncements that are not anticipated to have an impact on or are unrelated to our financial condition, results of operations, or disclosures.</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2009, the FASB issued Update No. 2009-01, which establishes the FASB Accounting Standards Codification (the Codification) as the source of authoritative accounting principles recognized by the FASB to be applied by nongovernmental entities in the preparation of financial statements in conformity with generally accepted accounting principles (GAAP). The Codification is effective for interim and annual periods ending after September 15, 2009. We adopted the Codification when referring to GAAP in the third quarter of 2009. The adoption of the Codification did not have an impact on our consolidated results.</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FASB issued authoritative guidance related to subsequent events in May 2009, which establishes general standards of accounting for and disclosure of events that occur after the balance sheet date but before the financial statements are issued or are available to be issued. This guidance is set forth in Topic 855 in the Accounting Standards Codification (ASC 855). ASC 855 provides guidance on the period after the balance sheet date during which management of a reporting entity should evaluate events or transactions that may occur for potential recognition or disclosure in the financial statements, the circumstances under which an entity should recognize events or transactions occurring after the balance sheet date in its financial statements and the disclosures that an entity should make about events or transactions that occurred after the balance sheet date. We adopted ASC 855 in the second quarter of 2009, and its application had no impact on our consolidated financial statements.</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FASB issued authoritative guidance for fair value measurements in September 2006, which defines fair value, establishes a framework for measuring fair value, and expands disclosures assets and liabilities measured at fair value in financial statements. This guidance is set forth in Topic 820 in the Accounting Standards Codification (ASC 820). ASC 820 does not require any new fair value measurements but rather eliminates inconsistencies in guidance found in various prior accounting pronouncements. ASC 820 is effective for fiscal years beginning after November 15, 2007. However, on February 6, 2008, the FASB issued authoritative guidance which deferred the effective date of ASC 820 for one year for nonfinancial assets and nonfinancial liabilities that are recognized or disclosed at fair value in the financial statements on a recurring basis. We adopted ASC 820 on January 1, 2008, except as it applies to those nonfinancial assets and nonfinancial liabilities as noted in the FASB’s February 6, 2008 guidance. We adopted the provisions of ASC 820 that relate to nonfinancial assets and nonfinancial liabilities on January 1, 2009. The adoption of ASC 820 did not have a material impact on our consolidated financial position, results of operations or cash flows.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1" w:name="page32"/>
    <w:bookmarkEnd w:id="31"/>
    <w:p>
      <w:pPr>
        <w:jc w:val="both"/>
        <w:spacing w:after="0" w:line="257" w:lineRule="auto"/>
        <w:rPr>
          <w:sz w:val="20"/>
          <w:szCs w:val="20"/>
          <w:color w:val="auto"/>
        </w:rPr>
      </w:pPr>
      <w:r>
        <w:rPr>
          <w:rFonts w:ascii="Arial" w:cs="Arial" w:eastAsia="Arial" w:hAnsi="Arial"/>
          <w:sz w:val="18"/>
          <w:szCs w:val="18"/>
          <w:color w:val="auto"/>
        </w:rPr>
        <w:t>In December 2007, the FASB issued authoritative guidance related to noncontrolling interests in consolidated financial statements, which was an amendment of ARB No. 51. This guidance is set forth in Topic 810 in the Accounting Standards Codification (ASC 810). ASC 810 establishes accounting and reporting standards for the noncontrolling interest in a subsidiary and for the deconsolidation of a subsidiary. This accounting standard is effective for fiscal years beginning after December 15, 2008. We adopted ASC 810 on January 1, 2009. The adoption of ASC 810 did not have a material impact on our consolidated financial position, results of operations or cash flows.</w:t>
      </w:r>
    </w:p>
    <w:p>
      <w:pPr>
        <w:spacing w:after="0" w:line="21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December 2007, the FASB issued revised authoritative guidance for business combinations, which establishes principles and requirements for how the acquirer in a business combination: i) recognizes and measures in its financial statements the identifiable assets acquired, the liabilities assumed, an any noncontrolling interest in the acquiree, ii) recognizes and measures the goodwill acquired in the business combination or a gain from a bargain purchase, and</w:t>
      </w:r>
    </w:p>
    <w:p>
      <w:pPr>
        <w:jc w:val="both"/>
        <w:ind w:firstLine="8"/>
        <w:spacing w:after="0" w:line="295" w:lineRule="auto"/>
        <w:tabs>
          <w:tab w:leader="none" w:pos="256"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determines what information to disclose to enable users of the financial statements to evaluate the nature and financial effects of the business combination. This guidance is set forth in Topic 805 in the Accounting Standards Codification (ASC 805). This accounting standard is effective for fiscal years beginning after December 15, 2008. We adopted ASC 805 on January 1, 2009. The adoption of ASC 805 did not have a material impact on our consolidated financial position, results of operations or cash flows as of the date of adoption. ASC 805 will be applied to any future business combinations.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In October 2009, the FASB issued Accounting Standards Update (ASU) 2009-13, “Multiple-Deliverable Revenue Arrangements,” which amends ASC 605-</w:t>
      </w:r>
    </w:p>
    <w:p>
      <w:pPr>
        <w:spacing w:after="0" w:line="46" w:lineRule="exact"/>
        <w:rPr>
          <w:sz w:val="20"/>
          <w:szCs w:val="20"/>
          <w:color w:val="auto"/>
        </w:rPr>
      </w:pPr>
    </w:p>
    <w:p>
      <w:pPr>
        <w:jc w:val="both"/>
        <w:ind w:firstLine="8"/>
        <w:spacing w:after="0" w:line="253" w:lineRule="auto"/>
        <w:tabs>
          <w:tab w:leader="none" w:pos="28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ASU 2009-13 modifies how consideration is allocated for the purpose of revenue recognition when an arrangement involves multiple deliverables and expands the related disclosure requirements. The guidance eliminates the residual method of revenue allocation, and requires that the vendor use its best estimate to allocate arrangement consideration between the deliverables in cases where neither vendor-specific objective evidence nor third-party evidence is available. ASU 2009-13 will be effective for us on January 1, 2011, with early adoption permitted. We are currently evaluating the impact the adoption of ASU 2009-13 will have on our financial position and results of operations.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2009, the FASB issued ASU 2009-14, “Certain Revenue Arrangements That Include Software Elements,” which amends ASC 985-605. ASU 2009-14 modifies the scope of the software revenue guidance in ASC 985-605 to exclude tangible products that contain both software components and non-software components. ASU 2009-14 will be effective for us on January 1, 2011, with early adoption permitted. We are currently evaluating the impact the adoption of ASU 2009-14 will have on our financial position and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exposure to market risk relates primarily to our investment portfolio, and the effect that changes in interest rates would have on that portfolio. Our investment portfolio has included:</w:t>
      </w:r>
    </w:p>
    <w:p>
      <w:pPr>
        <w:spacing w:after="0" w:line="197" w:lineRule="exact"/>
        <w:rPr>
          <w:sz w:val="20"/>
          <w:szCs w:val="20"/>
          <w:color w:val="auto"/>
        </w:rPr>
      </w:pPr>
    </w:p>
    <w:p>
      <w:pPr>
        <w:ind w:left="980" w:hanging="37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Cash and cash equivalents, which consist of financial instruments with original maturities of three months or less;</w:t>
      </w:r>
    </w:p>
    <w:p>
      <w:pPr>
        <w:spacing w:after="0" w:line="23" w:lineRule="exact"/>
        <w:rPr>
          <w:rFonts w:ascii="Arial" w:cs="Arial" w:eastAsia="Arial" w:hAnsi="Arial"/>
          <w:sz w:val="18"/>
          <w:szCs w:val="18"/>
          <w:color w:val="auto"/>
        </w:rPr>
      </w:pPr>
    </w:p>
    <w:p>
      <w:pPr>
        <w:ind w:left="980" w:hanging="378"/>
        <w:spacing w:after="0" w:line="250"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Short-term investments, which consist of financial instruments with remaining maturities of twelve months or less, and auction rate securities that typically have interest reset dates of twenty-eight days; and</w:t>
      </w:r>
    </w:p>
    <w:p>
      <w:pPr>
        <w:ind w:left="980" w:hanging="37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Investments, which consist of financial instruments that mature in three years or less.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our investments meet the high quality standards specified in our investment policy. This policy dictates the maturity period and limits the amount of credit exposure to any one issue, issuer, and type of instrument.</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December 31, 2009, our cash and cash equivalents of $39.7 million were invested in money market accounts. Due to the nature and short duration of these financial instruments, we do not expect that an increase in interest rates would result in any material loss to our investment portfolio. As of December 31, 2009, we had no investments that matured in more than twelve months. We do not use derivative financial instruments for speculative or trading purposes.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Board of Directors and Stockholders of Aware, Inc.:</w:t>
      </w:r>
    </w:p>
    <w:p>
      <w:pPr>
        <w:spacing w:after="0" w:line="25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our opinion, the consolidated financial statements listed in the index appearing under Item 15 (a) (1) present fairly, in all material respects, the financial position of Aware, Inc, and its subsidiary at December 31, 2009 and December 31, 2008 and the results of their operations and their cash flows for each of the three years in the period ended December 31, 2009 in conformity with accounting principles generally accepted in the United States of America. In addition, in our opinion, the financial statement schedule listed in the index appearing under Item 15 (a) (2)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2009, based on criteria established in Internal Control - Integrated Framework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2010</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7"/>
          </w:tcPr>
          <w:p>
            <w:pPr>
              <w:jc w:val="right"/>
              <w:ind w:right="4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9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2009</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94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39,669</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45,516</w:t>
            </w:r>
          </w:p>
        </w:tc>
        <w:tc>
          <w:tcPr>
            <w:tcW w:w="0" w:type="dxa"/>
            <w:vAlign w:val="bottom"/>
          </w:tcPr>
          <w:p>
            <w:pPr>
              <w:spacing w:after="0"/>
              <w:rPr>
                <w:sz w:val="1"/>
                <w:szCs w:val="1"/>
                <w:color w:val="auto"/>
              </w:rPr>
            </w:pPr>
          </w:p>
        </w:tc>
      </w:tr>
      <w:tr>
        <w:trPr>
          <w:trHeight w:val="216"/>
        </w:trPr>
        <w:tc>
          <w:tcPr>
            <w:tcW w:w="9480" w:type="dxa"/>
            <w:vAlign w:val="bottom"/>
          </w:tcPr>
          <w:p>
            <w:pPr>
              <w:ind w:left="180"/>
              <w:spacing w:after="0"/>
              <w:rPr>
                <w:sz w:val="20"/>
                <w:szCs w:val="20"/>
                <w:color w:val="auto"/>
              </w:rPr>
            </w:pPr>
            <w:r>
              <w:rPr>
                <w:rFonts w:ascii="Arial" w:cs="Arial" w:eastAsia="Arial" w:hAnsi="Arial"/>
                <w:sz w:val="18"/>
                <w:szCs w:val="18"/>
                <w:color w:val="auto"/>
              </w:rPr>
              <w:t>Accounts receivable (less allowance for doubtful accounts of $30 in 2009 and $30 in 2008)</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3,565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16"/>
        </w:trPr>
        <w:tc>
          <w:tcPr>
            <w:tcW w:w="948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37"/>
        </w:trPr>
        <w:tc>
          <w:tcPr>
            <w:tcW w:w="94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23"/>
        </w:trPr>
        <w:tc>
          <w:tcPr>
            <w:tcW w:w="948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44,710</w:t>
            </w:r>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94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6,744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7,463</w:t>
            </w:r>
          </w:p>
        </w:tc>
        <w:tc>
          <w:tcPr>
            <w:tcW w:w="0" w:type="dxa"/>
            <w:vAlign w:val="bottom"/>
          </w:tcPr>
          <w:p>
            <w:pPr>
              <w:spacing w:after="0"/>
              <w:rPr>
                <w:sz w:val="1"/>
                <w:szCs w:val="1"/>
                <w:color w:val="auto"/>
              </w:rPr>
            </w:pPr>
          </w:p>
        </w:tc>
      </w:tr>
      <w:tr>
        <w:trPr>
          <w:trHeight w:val="237"/>
        </w:trPr>
        <w:tc>
          <w:tcPr>
            <w:tcW w:w="9480" w:type="dxa"/>
            <w:vAlign w:val="bottom"/>
          </w:tcPr>
          <w:p>
            <w:pPr>
              <w:spacing w:after="0"/>
              <w:rPr>
                <w:sz w:val="20"/>
                <w:szCs w:val="20"/>
                <w:color w:val="auto"/>
              </w:rPr>
            </w:pPr>
            <w:r>
              <w:rPr>
                <w:rFonts w:ascii="Arial" w:cs="Arial" w:eastAsia="Arial" w:hAnsi="Arial"/>
                <w:sz w:val="18"/>
                <w:szCs w:val="18"/>
                <w:color w:val="auto"/>
              </w:rPr>
              <w:t>Other assets, net</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948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51,454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94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94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94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9480" w:type="dxa"/>
            <w:vAlign w:val="bottom"/>
          </w:tcPr>
          <w:p>
            <w:pPr>
              <w:ind w:left="180"/>
              <w:spacing w:after="0"/>
              <w:rPr>
                <w:sz w:val="20"/>
                <w:szCs w:val="20"/>
                <w:color w:val="auto"/>
              </w:rPr>
            </w:pPr>
            <w:r>
              <w:rPr>
                <w:rFonts w:ascii="Arial" w:cs="Arial" w:eastAsia="Arial" w:hAnsi="Arial"/>
                <w:sz w:val="18"/>
                <w:szCs w:val="18"/>
                <w:color w:val="auto"/>
              </w:rPr>
              <w:t>Accrued compensation</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16"/>
        </w:trPr>
        <w:tc>
          <w:tcPr>
            <w:tcW w:w="9480" w:type="dxa"/>
            <w:vAlign w:val="bottom"/>
          </w:tcPr>
          <w:p>
            <w:pPr>
              <w:ind w:left="180"/>
              <w:spacing w:after="0"/>
              <w:rPr>
                <w:sz w:val="20"/>
                <w:szCs w:val="20"/>
                <w:color w:val="auto"/>
              </w:rPr>
            </w:pPr>
            <w:r>
              <w:rPr>
                <w:rFonts w:ascii="Arial" w:cs="Arial" w:eastAsia="Arial" w:hAnsi="Arial"/>
                <w:sz w:val="18"/>
                <w:szCs w:val="18"/>
                <w:color w:val="auto"/>
              </w:rPr>
              <w:t>Accrued professional</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7"/>
        </w:trPr>
        <w:tc>
          <w:tcPr>
            <w:tcW w:w="94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23"/>
        </w:trPr>
        <w:tc>
          <w:tcPr>
            <w:tcW w:w="948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9480" w:type="dxa"/>
            <w:vAlign w:val="bottom"/>
          </w:tcPr>
          <w:p>
            <w:pPr>
              <w:spacing w:after="0"/>
              <w:rPr>
                <w:sz w:val="20"/>
                <w:szCs w:val="20"/>
                <w:color w:val="auto"/>
              </w:rPr>
            </w:pPr>
            <w:r>
              <w:rPr>
                <w:rFonts w:ascii="Arial" w:cs="Arial" w:eastAsia="Arial" w:hAnsi="Arial"/>
                <w:sz w:val="18"/>
                <w:szCs w:val="18"/>
                <w:color w:val="auto"/>
              </w:rPr>
              <w:t>Long-term deferred revenue</w:t>
            </w:r>
          </w:p>
        </w:tc>
        <w:tc>
          <w:tcPr>
            <w:tcW w:w="16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432"/>
        </w:trPr>
        <w:tc>
          <w:tcPr>
            <w:tcW w:w="9480" w:type="dxa"/>
            <w:vAlign w:val="bottom"/>
          </w:tcPr>
          <w:p>
            <w:pPr>
              <w:spacing w:after="0"/>
              <w:rPr>
                <w:sz w:val="20"/>
                <w:szCs w:val="20"/>
                <w:color w:val="auto"/>
              </w:rPr>
            </w:pPr>
            <w:r>
              <w:rPr>
                <w:rFonts w:ascii="Arial" w:cs="Arial" w:eastAsia="Arial" w:hAnsi="Arial"/>
                <w:sz w:val="18"/>
                <w:szCs w:val="18"/>
                <w:color w:val="auto"/>
              </w:rPr>
              <w:t>Commitments and contingent liabilities (Note 8)</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48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180"/>
              <w:spacing w:after="0"/>
              <w:rPr>
                <w:sz w:val="20"/>
                <w:szCs w:val="20"/>
                <w:color w:val="auto"/>
              </w:rPr>
            </w:pPr>
            <w:r>
              <w:rPr>
                <w:rFonts w:ascii="Arial" w:cs="Arial" w:eastAsia="Arial" w:hAnsi="Arial"/>
                <w:sz w:val="18"/>
                <w:szCs w:val="18"/>
                <w:color w:val="auto"/>
              </w:rPr>
              <w:t>Preferred stock, $1.00 par value; 1,000,000 shares authorized, none</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80" w:type="dxa"/>
            <w:vAlign w:val="bottom"/>
          </w:tcPr>
          <w:p>
            <w:pPr>
              <w:ind w:left="180"/>
              <w:spacing w:after="0"/>
              <w:rPr>
                <w:sz w:val="20"/>
                <w:szCs w:val="20"/>
                <w:color w:val="auto"/>
              </w:rPr>
            </w:pPr>
            <w:r>
              <w:rPr>
                <w:rFonts w:ascii="Arial" w:cs="Arial" w:eastAsia="Arial" w:hAnsi="Arial"/>
                <w:sz w:val="18"/>
                <w:szCs w:val="18"/>
                <w:color w:val="auto"/>
                <w:w w:val="92"/>
              </w:rPr>
              <w:t>Common stock, $.01 par value; shares authorized, 70,000,000 in 2009 and 2008; issued and outstanding, 19,809,315 in 2009</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340"/>
              <w:spacing w:after="0"/>
              <w:rPr>
                <w:sz w:val="20"/>
                <w:szCs w:val="20"/>
                <w:color w:val="auto"/>
              </w:rPr>
            </w:pPr>
            <w:r>
              <w:rPr>
                <w:rFonts w:ascii="Arial" w:cs="Arial" w:eastAsia="Arial" w:hAnsi="Arial"/>
                <w:sz w:val="18"/>
                <w:szCs w:val="18"/>
                <w:color w:val="auto"/>
              </w:rPr>
              <w:t>and 23,281,204 in 2008</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94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76,032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83,143</w:t>
            </w:r>
          </w:p>
        </w:tc>
        <w:tc>
          <w:tcPr>
            <w:tcW w:w="0" w:type="dxa"/>
            <w:vAlign w:val="bottom"/>
          </w:tcPr>
          <w:p>
            <w:pPr>
              <w:spacing w:after="0"/>
              <w:rPr>
                <w:sz w:val="1"/>
                <w:szCs w:val="1"/>
                <w:color w:val="auto"/>
              </w:rPr>
            </w:pPr>
          </w:p>
        </w:tc>
      </w:tr>
      <w:tr>
        <w:trPr>
          <w:trHeight w:val="237"/>
        </w:trPr>
        <w:tc>
          <w:tcPr>
            <w:tcW w:w="94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20"/>
                <w:szCs w:val="20"/>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(27,870)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(28,853)</w:t>
            </w:r>
          </w:p>
        </w:tc>
        <w:tc>
          <w:tcPr>
            <w:tcW w:w="0" w:type="dxa"/>
            <w:vAlign w:val="bottom"/>
          </w:tcPr>
          <w:p>
            <w:pPr>
              <w:spacing w:after="0"/>
              <w:rPr>
                <w:sz w:val="1"/>
                <w:szCs w:val="1"/>
                <w:color w:val="auto"/>
              </w:rPr>
            </w:pPr>
          </w:p>
        </w:tc>
      </w:tr>
      <w:tr>
        <w:trPr>
          <w:trHeight w:val="223"/>
        </w:trPr>
        <w:tc>
          <w:tcPr>
            <w:tcW w:w="9480" w:type="dxa"/>
            <w:vAlign w:val="bottom"/>
          </w:tcPr>
          <w:p>
            <w:pPr>
              <w:ind w:left="50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48,360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51,454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9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607" w:right="27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34"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17145</wp:posOffset>
            </wp:positionV>
            <wp:extent cx="187833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78330" cy="17145"/>
                    </a:xfrm>
                    <a:prstGeom prst="rect">
                      <a:avLst/>
                    </a:prstGeom>
                    <a:noFill/>
                  </pic:spPr>
                </pic:pic>
              </a:graphicData>
            </a:graphic>
          </wp:anchor>
        </w:drawing>
      </w:r>
    </w:p>
    <w:p>
      <w:pPr>
        <w:spacing w:after="0" w:line="16" w:lineRule="exact"/>
        <w:rPr>
          <w:sz w:val="20"/>
          <w:szCs w:val="20"/>
          <w:color w:val="auto"/>
        </w:rPr>
      </w:pPr>
    </w:p>
    <w:p>
      <w:pPr>
        <w:jc w:val="both"/>
        <w:ind w:left="8680"/>
        <w:spacing w:after="0"/>
        <w:tabs>
          <w:tab w:leader="none" w:pos="9720" w:val="left"/>
          <w:tab w:leader="none" w:pos="10720" w:val="left"/>
        </w:tabs>
        <w:rPr>
          <w:sz w:val="20"/>
          <w:szCs w:val="20"/>
          <w:color w:val="auto"/>
        </w:rPr>
      </w:pPr>
      <w:r>
        <w:rPr>
          <w:rFonts w:ascii="Arial" w:cs="Arial" w:eastAsia="Arial" w:hAnsi="Arial"/>
          <w:sz w:val="18"/>
          <w:szCs w:val="18"/>
          <w:b w:val="1"/>
          <w:bCs w:val="1"/>
          <w:color w:val="auto"/>
        </w:rPr>
        <w:t>2009</w:t>
      </w:r>
      <w:r>
        <w:rPr>
          <w:sz w:val="20"/>
          <w:szCs w:val="20"/>
          <w:color w:val="auto"/>
        </w:rPr>
        <w:tab/>
      </w:r>
      <w:r>
        <w:rPr>
          <w:rFonts w:ascii="Arial" w:cs="Arial" w:eastAsia="Arial" w:hAnsi="Arial"/>
          <w:sz w:val="18"/>
          <w:szCs w:val="18"/>
          <w:b w:val="1"/>
          <w:bCs w:val="1"/>
          <w:color w:val="auto"/>
        </w:rPr>
        <w:t>2008</w:t>
      </w:r>
      <w:r>
        <w:rPr>
          <w:sz w:val="20"/>
          <w:szCs w:val="20"/>
          <w:color w:val="auto"/>
        </w:rPr>
        <w:tab/>
      </w:r>
      <w:r>
        <w:rPr>
          <w:rFonts w:ascii="Arial" w:cs="Arial" w:eastAsia="Arial" w:hAnsi="Arial"/>
          <w:sz w:val="16"/>
          <w:szCs w:val="16"/>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17145</wp:posOffset>
            </wp:positionV>
            <wp:extent cx="187833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7833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Revenue: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Product sales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Contract revenue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Royalties</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Costs and expenses: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Cost of product sales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Cost of contract revenue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Selling and marketing</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General and administrative</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costs and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Income (loss) from operations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Gain on sale of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Income before provision for income taxes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Net income per share – basic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income per share – diluted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shares – basic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shares – 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ind w:left="320" w:hanging="318"/>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15,376   $   14,022   $  17,491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4,611</w:t>
            </w:r>
          </w:p>
        </w:tc>
        <w:tc>
          <w:tcPr>
            <w:tcW w:w="300" w:type="dxa"/>
            <w:vAlign w:val="bottom"/>
          </w:tcPr>
          <w:p>
            <w:pPr>
              <w:spacing w:after="0"/>
              <w:rPr>
                <w:sz w:val="17"/>
                <w:szCs w:val="17"/>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14,658</w:t>
            </w:r>
          </w:p>
        </w:tc>
        <w:tc>
          <w:tcPr>
            <w:tcW w:w="300" w:type="dxa"/>
            <w:vAlign w:val="bottom"/>
          </w:tcPr>
          <w:p>
            <w:pPr>
              <w:spacing w:after="0"/>
              <w:rPr>
                <w:sz w:val="17"/>
                <w:szCs w:val="17"/>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6,337</w:t>
            </w:r>
          </w:p>
        </w:tc>
      </w:tr>
      <w:tr>
        <w:trPr>
          <w:trHeight w:val="237"/>
        </w:trPr>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2,055</w:t>
            </w: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1,837</w:t>
            </w: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2,609</w:t>
            </w:r>
          </w:p>
        </w:tc>
      </w:tr>
      <w:tr>
        <w:trPr>
          <w:trHeight w:val="223"/>
        </w:trPr>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22,042</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30,517</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26,437</w:t>
            </w:r>
          </w:p>
        </w:tc>
      </w:tr>
      <w:tr>
        <w:trPr>
          <w:trHeight w:val="634"/>
        </w:trPr>
        <w:tc>
          <w:tcPr>
            <w:tcW w:w="200" w:type="dxa"/>
            <w:vAlign w:val="bottom"/>
          </w:tcPr>
          <w:p>
            <w:pPr>
              <w:spacing w:after="0"/>
              <w:rPr>
                <w:sz w:val="24"/>
                <w:szCs w:val="24"/>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2,887</w:t>
            </w:r>
          </w:p>
        </w:tc>
        <w:tc>
          <w:tcPr>
            <w:tcW w:w="300" w:type="dxa"/>
            <w:vAlign w:val="bottom"/>
          </w:tcPr>
          <w:p>
            <w:pPr>
              <w:spacing w:after="0"/>
              <w:rPr>
                <w:sz w:val="24"/>
                <w:szCs w:val="24"/>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2,589</w:t>
            </w:r>
          </w:p>
        </w:tc>
        <w:tc>
          <w:tcPr>
            <w:tcW w:w="300" w:type="dxa"/>
            <w:vAlign w:val="bottom"/>
          </w:tcPr>
          <w:p>
            <w:pPr>
              <w:spacing w:after="0"/>
              <w:rPr>
                <w:sz w:val="24"/>
                <w:szCs w:val="24"/>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3,998</w:t>
            </w:r>
          </w:p>
        </w:tc>
      </w:tr>
      <w:tr>
        <w:trPr>
          <w:trHeight w:val="216"/>
        </w:trPr>
        <w:tc>
          <w:tcPr>
            <w:tcW w:w="20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2,896</w:t>
            </w:r>
          </w:p>
        </w:tc>
        <w:tc>
          <w:tcPr>
            <w:tcW w:w="30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4,180</w:t>
            </w:r>
          </w:p>
        </w:tc>
        <w:tc>
          <w:tcPr>
            <w:tcW w:w="30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5,425</w:t>
            </w:r>
          </w:p>
        </w:tc>
      </w:tr>
      <w:tr>
        <w:trPr>
          <w:trHeight w:val="216"/>
        </w:trPr>
        <w:tc>
          <w:tcPr>
            <w:tcW w:w="20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11,920</w:t>
            </w:r>
          </w:p>
        </w:tc>
        <w:tc>
          <w:tcPr>
            <w:tcW w:w="30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13,171</w:t>
            </w:r>
          </w:p>
        </w:tc>
        <w:tc>
          <w:tcPr>
            <w:tcW w:w="30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10,869</w:t>
            </w:r>
          </w:p>
        </w:tc>
      </w:tr>
      <w:tr>
        <w:trPr>
          <w:trHeight w:val="216"/>
        </w:trPr>
        <w:tc>
          <w:tcPr>
            <w:tcW w:w="20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4,707</w:t>
            </w:r>
          </w:p>
        </w:tc>
        <w:tc>
          <w:tcPr>
            <w:tcW w:w="30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4,739</w:t>
            </w:r>
          </w:p>
        </w:tc>
        <w:tc>
          <w:tcPr>
            <w:tcW w:w="30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3,738</w:t>
            </w:r>
          </w:p>
        </w:tc>
      </w:tr>
      <w:tr>
        <w:trPr>
          <w:trHeight w:val="237"/>
        </w:trPr>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5,114</w:t>
            </w: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5,209</w:t>
            </w: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4,237</w:t>
            </w:r>
          </w:p>
        </w:tc>
      </w:tr>
      <w:tr>
        <w:trPr>
          <w:trHeight w:val="223"/>
        </w:trPr>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27,524</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29,888</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28,267</w:t>
            </w:r>
          </w:p>
        </w:tc>
      </w:tr>
      <w:tr>
        <w:trPr>
          <w:trHeight w:val="418"/>
        </w:trPr>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(5,482)</w:t>
            </w:r>
          </w:p>
        </w:tc>
        <w:tc>
          <w:tcPr>
            <w:tcW w:w="300" w:type="dxa"/>
            <w:vAlign w:val="bottom"/>
          </w:tcPr>
          <w:p>
            <w:pPr>
              <w:spacing w:after="0"/>
              <w:rPr>
                <w:sz w:val="24"/>
                <w:szCs w:val="24"/>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629</w:t>
            </w: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(1,830)</w:t>
            </w:r>
          </w:p>
        </w:tc>
      </w:tr>
      <w:tr>
        <w:trPr>
          <w:trHeight w:val="216"/>
        </w:trPr>
        <w:tc>
          <w:tcPr>
            <w:tcW w:w="20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6,230</w:t>
            </w:r>
          </w:p>
        </w:tc>
        <w:tc>
          <w:tcPr>
            <w:tcW w:w="30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238</w:t>
            </w: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1,163</w:t>
            </w: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2,016</w:t>
            </w:r>
          </w:p>
        </w:tc>
      </w:tr>
      <w:tr>
        <w:trPr>
          <w:trHeight w:val="202"/>
        </w:trPr>
        <w:tc>
          <w:tcPr>
            <w:tcW w:w="200" w:type="dxa"/>
            <w:vAlign w:val="bottom"/>
          </w:tcPr>
          <w:p>
            <w:pPr>
              <w:spacing w:after="0"/>
              <w:rPr>
                <w:sz w:val="17"/>
                <w:szCs w:val="17"/>
                <w:color w:val="auto"/>
              </w:rPr>
            </w:pPr>
          </w:p>
        </w:tc>
        <w:tc>
          <w:tcPr>
            <w:tcW w:w="760" w:type="dxa"/>
            <w:vAlign w:val="bottom"/>
          </w:tcPr>
          <w:p>
            <w:pPr>
              <w:jc w:val="right"/>
              <w:ind w:right="50"/>
              <w:spacing w:after="0" w:line="201" w:lineRule="exact"/>
              <w:rPr>
                <w:sz w:val="20"/>
                <w:szCs w:val="20"/>
                <w:color w:val="auto"/>
              </w:rPr>
            </w:pPr>
            <w:r>
              <w:rPr>
                <w:rFonts w:ascii="Arial" w:cs="Arial" w:eastAsia="Arial" w:hAnsi="Arial"/>
                <w:sz w:val="18"/>
                <w:szCs w:val="18"/>
                <w:color w:val="auto"/>
              </w:rPr>
              <w:t>986</w:t>
            </w:r>
          </w:p>
        </w:tc>
        <w:tc>
          <w:tcPr>
            <w:tcW w:w="300" w:type="dxa"/>
            <w:vAlign w:val="bottom"/>
          </w:tcPr>
          <w:p>
            <w:pPr>
              <w:spacing w:after="0"/>
              <w:rPr>
                <w:sz w:val="17"/>
                <w:szCs w:val="17"/>
                <w:color w:val="auto"/>
              </w:rPr>
            </w:pPr>
          </w:p>
        </w:tc>
        <w:tc>
          <w:tcPr>
            <w:tcW w:w="7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1,792</w:t>
            </w:r>
          </w:p>
        </w:tc>
        <w:tc>
          <w:tcPr>
            <w:tcW w:w="300" w:type="dxa"/>
            <w:vAlign w:val="bottom"/>
          </w:tcPr>
          <w:p>
            <w:pPr>
              <w:spacing w:after="0"/>
              <w:rPr>
                <w:sz w:val="17"/>
                <w:szCs w:val="17"/>
                <w:color w:val="auto"/>
              </w:rPr>
            </w:pPr>
          </w:p>
        </w:tc>
        <w:tc>
          <w:tcPr>
            <w:tcW w:w="7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186</w:t>
            </w:r>
          </w:p>
        </w:tc>
      </w:tr>
      <w:tr>
        <w:trPr>
          <w:trHeight w:val="237"/>
        </w:trPr>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r>
      <w:tr>
        <w:trPr>
          <w:trHeight w:val="432"/>
        </w:trPr>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982</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1,776</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w:t>
            </w: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411"/>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0.05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0.08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0.01</w:t>
            </w:r>
          </w:p>
        </w:tc>
      </w:tr>
      <w:tr>
        <w:trPr>
          <w:trHeight w:val="230"/>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0.05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0.01</w:t>
            </w:r>
          </w:p>
        </w:tc>
      </w:tr>
      <w:tr>
        <w:trPr>
          <w:trHeight w:val="418"/>
        </w:trPr>
        <w:tc>
          <w:tcPr>
            <w:tcW w:w="200" w:type="dxa"/>
            <w:vAlign w:val="bottom"/>
          </w:tcPr>
          <w:p>
            <w:pPr>
              <w:spacing w:after="0"/>
              <w:rPr>
                <w:sz w:val="24"/>
                <w:szCs w:val="24"/>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20,869</w:t>
            </w:r>
          </w:p>
        </w:tc>
        <w:tc>
          <w:tcPr>
            <w:tcW w:w="300" w:type="dxa"/>
            <w:vAlign w:val="bottom"/>
          </w:tcPr>
          <w:p>
            <w:pPr>
              <w:spacing w:after="0"/>
              <w:rPr>
                <w:sz w:val="24"/>
                <w:szCs w:val="24"/>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23,638</w:t>
            </w:r>
          </w:p>
        </w:tc>
        <w:tc>
          <w:tcPr>
            <w:tcW w:w="300" w:type="dxa"/>
            <w:vAlign w:val="bottom"/>
          </w:tcPr>
          <w:p>
            <w:pPr>
              <w:spacing w:after="0"/>
              <w:rPr>
                <w:sz w:val="24"/>
                <w:szCs w:val="24"/>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23,738</w:t>
            </w:r>
          </w:p>
        </w:tc>
      </w:tr>
      <w:tr>
        <w:trPr>
          <w:trHeight w:val="230"/>
        </w:trPr>
        <w:tc>
          <w:tcPr>
            <w:tcW w:w="200" w:type="dxa"/>
            <w:vAlign w:val="bottom"/>
          </w:tcPr>
          <w:p>
            <w:pPr>
              <w:spacing w:after="0"/>
              <w:rPr>
                <w:sz w:val="20"/>
                <w:szCs w:val="20"/>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20,874</w:t>
            </w:r>
          </w:p>
        </w:tc>
        <w:tc>
          <w:tcPr>
            <w:tcW w:w="3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23,697</w:t>
            </w:r>
          </w:p>
        </w:tc>
        <w:tc>
          <w:tcPr>
            <w:tcW w:w="3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25,084</w:t>
            </w:r>
          </w:p>
        </w:tc>
      </w:tr>
    </w:tbl>
    <w:p>
      <w:pPr>
        <w:spacing w:after="0" w:line="200" w:lineRule="exact"/>
        <w:rPr>
          <w:sz w:val="20"/>
          <w:szCs w:val="20"/>
          <w:color w:val="auto"/>
        </w:rPr>
      </w:pPr>
    </w:p>
    <w:p>
      <w:pPr>
        <w:sectPr>
          <w:pgSz w:w="11900" w:h="16838" w:orient="portrait"/>
          <w:cols w:equalWidth="0" w:num="2">
            <w:col w:w="7740" w:space="720"/>
            <w:col w:w="2960"/>
          </w:cols>
          <w:pgMar w:left="240" w:top="607"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type w:val="continuous"/>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jc w:val="right"/>
              <w:ind w:right="430"/>
              <w:spacing w:after="0"/>
              <w:rPr>
                <w:sz w:val="20"/>
                <w:szCs w:val="20"/>
                <w:color w:val="auto"/>
              </w:rPr>
            </w:pPr>
            <w:r>
              <w:rPr>
                <w:rFonts w:ascii="Arial" w:cs="Arial" w:eastAsia="Arial" w:hAnsi="Arial"/>
                <w:sz w:val="18"/>
                <w:szCs w:val="18"/>
                <w:b w:val="1"/>
                <w:bCs w:val="1"/>
                <w:color w:val="auto"/>
                <w:w w:val="98"/>
              </w:rPr>
              <w:t>Years ended December 31,</w:t>
            </w:r>
          </w:p>
        </w:tc>
      </w:tr>
      <w:tr>
        <w:trPr>
          <w:trHeight w:val="223"/>
        </w:trPr>
        <w:tc>
          <w:tcPr>
            <w:tcW w:w="8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2009</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2008</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2007</w:t>
            </w:r>
          </w:p>
        </w:tc>
      </w:tr>
      <w:tr>
        <w:trPr>
          <w:trHeight w:val="418"/>
        </w:trPr>
        <w:tc>
          <w:tcPr>
            <w:tcW w:w="846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982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1,776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160</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823</w:t>
            </w:r>
          </w:p>
        </w:tc>
        <w:tc>
          <w:tcPr>
            <w:tcW w:w="26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921</w:t>
            </w:r>
          </w:p>
        </w:tc>
        <w:tc>
          <w:tcPr>
            <w:tcW w:w="22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878</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Provision for doubtful accounts</w:t>
            </w:r>
          </w:p>
        </w:tc>
        <w:tc>
          <w:tcPr>
            <w:tcW w:w="16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1,737</w:t>
            </w:r>
          </w:p>
        </w:tc>
        <w:tc>
          <w:tcPr>
            <w:tcW w:w="26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1,505</w:t>
            </w:r>
          </w:p>
        </w:tc>
        <w:tc>
          <w:tcPr>
            <w:tcW w:w="22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1,138</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Gain on sale of assets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(6,230)</w:t>
            </w:r>
          </w:p>
        </w:tc>
        <w:tc>
          <w:tcPr>
            <w:tcW w:w="26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Increase (decrease) from changes in assets and liabilities: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846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(1,353)</w:t>
            </w:r>
          </w:p>
        </w:tc>
        <w:tc>
          <w:tcPr>
            <w:tcW w:w="26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5,475</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(2,903)</w:t>
            </w:r>
          </w:p>
        </w:tc>
      </w:tr>
      <w:tr>
        <w:trPr>
          <w:trHeight w:val="216"/>
        </w:trPr>
        <w:tc>
          <w:tcPr>
            <w:tcW w:w="846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542</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(605)</w:t>
            </w:r>
          </w:p>
        </w:tc>
      </w:tr>
      <w:tr>
        <w:trPr>
          <w:trHeight w:val="216"/>
        </w:trPr>
        <w:tc>
          <w:tcPr>
            <w:tcW w:w="846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131</w:t>
            </w:r>
          </w:p>
        </w:tc>
        <w:tc>
          <w:tcPr>
            <w:tcW w:w="26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160</w:t>
            </w:r>
          </w:p>
        </w:tc>
      </w:tr>
      <w:tr>
        <w:trPr>
          <w:trHeight w:val="216"/>
        </w:trPr>
        <w:tc>
          <w:tcPr>
            <w:tcW w:w="846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(473)</w:t>
            </w:r>
          </w:p>
        </w:tc>
        <w:tc>
          <w:tcPr>
            <w:tcW w:w="22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247</w:t>
            </w:r>
          </w:p>
        </w:tc>
      </w:tr>
      <w:tr>
        <w:trPr>
          <w:trHeight w:val="216"/>
        </w:trPr>
        <w:tc>
          <w:tcPr>
            <w:tcW w:w="8460" w:type="dxa"/>
            <w:vAlign w:val="bottom"/>
          </w:tcPr>
          <w:p>
            <w:pPr>
              <w:ind w:left="50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(377)</w:t>
            </w:r>
          </w:p>
        </w:tc>
        <w:tc>
          <w:tcPr>
            <w:tcW w:w="26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423</w:t>
            </w:r>
          </w:p>
        </w:tc>
        <w:tc>
          <w:tcPr>
            <w:tcW w:w="22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237"/>
        </w:trPr>
        <w:tc>
          <w:tcPr>
            <w:tcW w:w="846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487</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r>
      <w:tr>
        <w:trPr>
          <w:trHeight w:val="223"/>
        </w:trPr>
        <w:tc>
          <w:tcPr>
            <w:tcW w:w="8460" w:type="dxa"/>
            <w:vAlign w:val="bottom"/>
          </w:tcPr>
          <w:p>
            <w:pPr>
              <w:ind w:left="660"/>
              <w:spacing w:after="0"/>
              <w:rPr>
                <w:sz w:val="20"/>
                <w:szCs w:val="20"/>
                <w:color w:val="auto"/>
              </w:rPr>
            </w:pPr>
            <w:r>
              <w:rPr>
                <w:rFonts w:ascii="Arial" w:cs="Arial" w:eastAsia="Arial" w:hAnsi="Arial"/>
                <w:sz w:val="18"/>
                <w:szCs w:val="18"/>
                <w:color w:val="auto"/>
              </w:rPr>
              <w:t>Net cash (used in) provided by operating activities</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9,406</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w:t>
            </w:r>
          </w:p>
        </w:tc>
      </w:tr>
      <w:tr>
        <w:trPr>
          <w:trHeight w:val="418"/>
        </w:trPr>
        <w:tc>
          <w:tcPr>
            <w:tcW w:w="84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(445)</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(559)</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Proceeds from sale of assets, net</w:t>
            </w:r>
          </w:p>
        </w:tc>
        <w:tc>
          <w:tcPr>
            <w:tcW w:w="16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6,661</w:t>
            </w:r>
          </w:p>
        </w:tc>
        <w:tc>
          <w:tcPr>
            <w:tcW w:w="26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Sales of investments</w:t>
            </w:r>
          </w:p>
        </w:tc>
        <w:tc>
          <w:tcPr>
            <w:tcW w:w="16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38,743</w:t>
            </w:r>
          </w:p>
        </w:tc>
        <w:tc>
          <w:tcPr>
            <w:tcW w:w="22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24,497</w:t>
            </w:r>
          </w:p>
        </w:tc>
      </w:tr>
      <w:tr>
        <w:trPr>
          <w:trHeight w:val="237"/>
        </w:trPr>
        <w:tc>
          <w:tcPr>
            <w:tcW w:w="8460" w:type="dxa"/>
            <w:vAlign w:val="bottom"/>
          </w:tcPr>
          <w:p>
            <w:pPr>
              <w:ind w:left="180"/>
              <w:spacing w:after="0"/>
              <w:rPr>
                <w:sz w:val="20"/>
                <w:szCs w:val="20"/>
                <w:color w:val="auto"/>
              </w:rPr>
            </w:pPr>
            <w:r>
              <w:rPr>
                <w:rFonts w:ascii="Arial" w:cs="Arial" w:eastAsia="Arial" w:hAnsi="Arial"/>
                <w:sz w:val="18"/>
                <w:szCs w:val="18"/>
                <w:color w:val="auto"/>
              </w:rPr>
              <w:t>Purchases of investments</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(30,009)</w:t>
            </w:r>
          </w:p>
        </w:tc>
      </w:tr>
      <w:tr>
        <w:trPr>
          <w:trHeight w:val="223"/>
        </w:trPr>
        <w:tc>
          <w:tcPr>
            <w:tcW w:w="8460" w:type="dxa"/>
            <w:vAlign w:val="bottom"/>
          </w:tcPr>
          <w:p>
            <w:pPr>
              <w:ind w:left="660"/>
              <w:spacing w:after="0"/>
              <w:rPr>
                <w:sz w:val="20"/>
                <w:szCs w:val="20"/>
                <w:color w:val="auto"/>
              </w:rPr>
            </w:pPr>
            <w:r>
              <w:rPr>
                <w:rFonts w:ascii="Arial" w:cs="Arial" w:eastAsia="Arial" w:hAnsi="Arial"/>
                <w:sz w:val="18"/>
                <w:szCs w:val="18"/>
                <w:color w:val="auto"/>
              </w:rPr>
              <w:t>Net cash provided by (used in) investing activities</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6,493</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36,298</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(6,071)</w:t>
            </w:r>
          </w:p>
        </w:tc>
      </w:tr>
      <w:tr>
        <w:trPr>
          <w:trHeight w:val="418"/>
        </w:trPr>
        <w:tc>
          <w:tcPr>
            <w:tcW w:w="84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Proceeds from issuance of common stock</w:t>
            </w:r>
          </w:p>
        </w:tc>
        <w:tc>
          <w:tcPr>
            <w:tcW w:w="16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363</w:t>
            </w:r>
          </w:p>
        </w:tc>
        <w:tc>
          <w:tcPr>
            <w:tcW w:w="22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647</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Shares surrendered by employees to pay taxes related to unrestricted</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stock</w:t>
            </w:r>
          </w:p>
        </w:tc>
        <w:tc>
          <w:tcPr>
            <w:tcW w:w="16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7"/>
        </w:trPr>
        <w:tc>
          <w:tcPr>
            <w:tcW w:w="8460" w:type="dxa"/>
            <w:vAlign w:val="bottom"/>
          </w:tcPr>
          <w:p>
            <w:pPr>
              <w:ind w:left="180"/>
              <w:spacing w:after="0"/>
              <w:rPr>
                <w:sz w:val="20"/>
                <w:szCs w:val="20"/>
                <w:color w:val="auto"/>
              </w:rPr>
            </w:pPr>
            <w:r>
              <w:rPr>
                <w:rFonts w:ascii="Arial" w:cs="Arial" w:eastAsia="Arial" w:hAnsi="Arial"/>
                <w:sz w:val="18"/>
                <w:szCs w:val="18"/>
                <w:color w:val="auto"/>
              </w:rPr>
              <w:t>Repurchase of common stock</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(8,950)</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(2,357)</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8460" w:type="dxa"/>
            <w:vAlign w:val="bottom"/>
          </w:tcPr>
          <w:p>
            <w:pPr>
              <w:ind w:left="660"/>
              <w:spacing w:after="0"/>
              <w:rPr>
                <w:sz w:val="20"/>
                <w:szCs w:val="20"/>
                <w:color w:val="auto"/>
              </w:rPr>
            </w:pPr>
            <w:r>
              <w:rPr>
                <w:rFonts w:ascii="Arial" w:cs="Arial" w:eastAsia="Arial" w:hAnsi="Arial"/>
                <w:sz w:val="18"/>
                <w:szCs w:val="18"/>
                <w:color w:val="auto"/>
              </w:rPr>
              <w:t>Net cash (used in) provided by financing activities</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(8,943)</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568</w:t>
            </w:r>
          </w:p>
        </w:tc>
      </w:tr>
      <w:tr>
        <w:trPr>
          <w:trHeight w:val="418"/>
        </w:trPr>
        <w:tc>
          <w:tcPr>
            <w:tcW w:w="8460" w:type="dxa"/>
            <w:vAlign w:val="bottom"/>
          </w:tcPr>
          <w:p>
            <w:pPr>
              <w:spacing w:after="0"/>
              <w:rPr>
                <w:sz w:val="20"/>
                <w:szCs w:val="20"/>
                <w:color w:val="auto"/>
              </w:rPr>
            </w:pPr>
            <w:r>
              <w:rPr>
                <w:rFonts w:ascii="Arial" w:cs="Arial" w:eastAsia="Arial" w:hAnsi="Arial"/>
                <w:sz w:val="18"/>
                <w:szCs w:val="18"/>
                <w:color w:val="auto"/>
              </w:rPr>
              <w:t>(Decrease) increase in cash and cash equivalents</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(5,847)</w:t>
            </w:r>
          </w:p>
        </w:tc>
        <w:tc>
          <w:tcPr>
            <w:tcW w:w="260" w:type="dxa"/>
            <w:vAlign w:val="bottom"/>
          </w:tcPr>
          <w:p>
            <w:pPr>
              <w:spacing w:after="0"/>
              <w:rPr>
                <w:sz w:val="24"/>
                <w:szCs w:val="24"/>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43,710</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(6,765)</w:t>
            </w:r>
          </w:p>
        </w:tc>
      </w:tr>
      <w:tr>
        <w:trPr>
          <w:trHeight w:val="237"/>
        </w:trPr>
        <w:tc>
          <w:tcPr>
            <w:tcW w:w="846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45,516</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1,806</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8,571</w:t>
            </w:r>
          </w:p>
        </w:tc>
      </w:tr>
      <w:tr>
        <w:trPr>
          <w:trHeight w:val="432"/>
        </w:trPr>
        <w:tc>
          <w:tcPr>
            <w:tcW w:w="8460" w:type="dxa"/>
            <w:vAlign w:val="bottom"/>
          </w:tcPr>
          <w:p>
            <w:pPr>
              <w:spacing w:after="0"/>
              <w:rPr>
                <w:sz w:val="20"/>
                <w:szCs w:val="20"/>
                <w:color w:val="auto"/>
              </w:rPr>
            </w:pPr>
            <w:r>
              <w:rPr>
                <w:rFonts w:ascii="Arial" w:cs="Arial" w:eastAsia="Arial" w:hAnsi="Arial"/>
                <w:sz w:val="18"/>
                <w:szCs w:val="18"/>
                <w:color w:val="auto"/>
              </w:rPr>
              <w:t>Cash and cash equivalents, end of year</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39,669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45,516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1,806</w:t>
            </w:r>
          </w:p>
        </w:tc>
      </w:tr>
      <w:tr>
        <w:trPr>
          <w:trHeight w:val="21"/>
        </w:trPr>
        <w:tc>
          <w:tcPr>
            <w:tcW w:w="8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Additional</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Total</w:t>
            </w:r>
          </w:p>
        </w:tc>
      </w:tr>
      <w:tr>
        <w:trPr>
          <w:trHeight w:val="237"/>
        </w:trPr>
        <w:tc>
          <w:tcPr>
            <w:tcW w:w="5760" w:type="dxa"/>
            <w:vAlign w:val="bottom"/>
          </w:tcPr>
          <w:p>
            <w:pPr>
              <w:spacing w:after="0"/>
              <w:rPr>
                <w:sz w:val="20"/>
                <w:szCs w:val="20"/>
                <w:color w:val="auto"/>
              </w:rPr>
            </w:pPr>
          </w:p>
        </w:tc>
        <w:tc>
          <w:tcPr>
            <w:tcW w:w="2160" w:type="dxa"/>
            <w:vAlign w:val="bottom"/>
            <w:gridSpan w:val="4"/>
          </w:tcPr>
          <w:p>
            <w:pPr>
              <w:jc w:val="right"/>
              <w:ind w:right="58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w w:val="98"/>
              </w:rPr>
              <w:t>Paid-In</w:t>
            </w: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Accumulated</w:t>
            </w:r>
          </w:p>
        </w:tc>
        <w:tc>
          <w:tcPr>
            <w:tcW w:w="1180" w:type="dxa"/>
            <w:vAlign w:val="bottom"/>
            <w:gridSpan w:val="2"/>
          </w:tcPr>
          <w:p>
            <w:pPr>
              <w:ind w:left="80"/>
              <w:spacing w:after="0"/>
              <w:rPr>
                <w:sz w:val="20"/>
                <w:szCs w:val="20"/>
                <w:color w:val="auto"/>
              </w:rPr>
            </w:pPr>
            <w:r>
              <w:rPr>
                <w:rFonts w:ascii="Arial" w:cs="Arial" w:eastAsia="Arial" w:hAnsi="Arial"/>
                <w:sz w:val="18"/>
                <w:szCs w:val="18"/>
                <w:color w:val="auto"/>
                <w:w w:val="99"/>
              </w:rPr>
              <w:t>Stockholders’</w:t>
            </w:r>
          </w:p>
        </w:tc>
      </w:tr>
      <w:tr>
        <w:trPr>
          <w:trHeight w:val="223"/>
        </w:trPr>
        <w:tc>
          <w:tcPr>
            <w:tcW w:w="57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Shares</w:t>
            </w: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6"/>
              </w:rPr>
              <w:t>Amount</w:t>
            </w: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Capital</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Deficit</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Equity</w:t>
            </w:r>
          </w:p>
        </w:tc>
      </w:tr>
      <w:tr>
        <w:trPr>
          <w:trHeight w:val="432"/>
        </w:trPr>
        <w:tc>
          <w:tcPr>
            <w:tcW w:w="5760" w:type="dxa"/>
            <w:vAlign w:val="bottom"/>
          </w:tcPr>
          <w:p>
            <w:pPr>
              <w:spacing w:after="0"/>
              <w:rPr>
                <w:sz w:val="20"/>
                <w:szCs w:val="20"/>
                <w:color w:val="auto"/>
              </w:rPr>
            </w:pPr>
            <w:r>
              <w:rPr>
                <w:rFonts w:ascii="Arial" w:cs="Arial" w:eastAsia="Arial" w:hAnsi="Arial"/>
                <w:sz w:val="18"/>
                <w:szCs w:val="18"/>
                <w:color w:val="auto"/>
              </w:rPr>
              <w:t>Balance at December 31, 2006</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23,643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236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81,923</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(30,789)</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51,370</w:t>
            </w:r>
          </w:p>
        </w:tc>
      </w:tr>
      <w:tr>
        <w:trPr>
          <w:trHeight w:val="418"/>
        </w:trPr>
        <w:tc>
          <w:tcPr>
            <w:tcW w:w="5760" w:type="dxa"/>
            <w:vAlign w:val="bottom"/>
          </w:tcPr>
          <w:p>
            <w:pPr>
              <w:ind w:left="180"/>
              <w:spacing w:after="0"/>
              <w:rPr>
                <w:sz w:val="20"/>
                <w:szCs w:val="20"/>
                <w:color w:val="auto"/>
              </w:rPr>
            </w:pPr>
            <w:r>
              <w:rPr>
                <w:rFonts w:ascii="Arial" w:cs="Arial" w:eastAsia="Arial" w:hAnsi="Arial"/>
                <w:sz w:val="18"/>
                <w:szCs w:val="18"/>
                <w:color w:val="auto"/>
              </w:rPr>
              <w:t>Exercise of common stock options</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632</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635</w:t>
            </w: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Repurchase of common stock</w:t>
            </w: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Issuance of unrestricted stock</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153</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153</w:t>
            </w: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w w:val="92"/>
              </w:rPr>
              <w:t>Shares surrendered by employees to pay taxes related to unrestricted stock</w:t>
            </w: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Issuance of common stock under employee stock purchase plan</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985</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985</w:t>
            </w:r>
          </w:p>
        </w:tc>
      </w:tr>
      <w:tr>
        <w:trPr>
          <w:trHeight w:val="237"/>
        </w:trPr>
        <w:tc>
          <w:tcPr>
            <w:tcW w:w="57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160</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w:t>
            </w:r>
          </w:p>
        </w:tc>
      </w:tr>
      <w:tr>
        <w:trPr>
          <w:trHeight w:val="432"/>
        </w:trPr>
        <w:tc>
          <w:tcPr>
            <w:tcW w:w="5760" w:type="dxa"/>
            <w:vAlign w:val="bottom"/>
          </w:tcPr>
          <w:p>
            <w:pPr>
              <w:spacing w:after="0"/>
              <w:rPr>
                <w:sz w:val="20"/>
                <w:szCs w:val="20"/>
                <w:color w:val="auto"/>
              </w:rPr>
            </w:pPr>
            <w:r>
              <w:rPr>
                <w:rFonts w:ascii="Arial" w:cs="Arial" w:eastAsia="Arial" w:hAnsi="Arial"/>
                <w:sz w:val="18"/>
                <w:szCs w:val="18"/>
                <w:color w:val="auto"/>
              </w:rPr>
              <w:t>Balance at December 31, 2007</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23,855</w:t>
            </w:r>
          </w:p>
        </w:tc>
        <w:tc>
          <w:tcPr>
            <w:tcW w:w="2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239</w:t>
            </w:r>
          </w:p>
        </w:tc>
        <w:tc>
          <w:tcPr>
            <w:tcW w:w="22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83,626</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(30,629)</w:t>
            </w:r>
          </w:p>
        </w:tc>
        <w:tc>
          <w:tcPr>
            <w:tcW w:w="24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53,236</w:t>
            </w:r>
          </w:p>
        </w:tc>
      </w:tr>
      <w:tr>
        <w:trPr>
          <w:trHeight w:val="418"/>
        </w:trPr>
        <w:tc>
          <w:tcPr>
            <w:tcW w:w="5760" w:type="dxa"/>
            <w:vAlign w:val="bottom"/>
          </w:tcPr>
          <w:p>
            <w:pPr>
              <w:ind w:left="180"/>
              <w:spacing w:after="0"/>
              <w:rPr>
                <w:sz w:val="20"/>
                <w:szCs w:val="20"/>
                <w:color w:val="auto"/>
              </w:rPr>
            </w:pPr>
            <w:r>
              <w:rPr>
                <w:rFonts w:ascii="Arial" w:cs="Arial" w:eastAsia="Arial" w:hAnsi="Arial"/>
                <w:sz w:val="18"/>
                <w:szCs w:val="18"/>
                <w:color w:val="auto"/>
              </w:rPr>
              <w:t>Exercise of common stock options</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358</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359</w:t>
            </w: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Repurchase of common stock</w:t>
            </w:r>
          </w:p>
        </w:tc>
        <w:tc>
          <w:tcPr>
            <w:tcW w:w="1040" w:type="dxa"/>
            <w:vAlign w:val="bottom"/>
          </w:tcPr>
          <w:p>
            <w:pPr>
              <w:jc w:val="right"/>
              <w:spacing w:after="0"/>
              <w:rPr>
                <w:sz w:val="20"/>
                <w:szCs w:val="20"/>
                <w:color w:val="auto"/>
              </w:rPr>
            </w:pPr>
            <w:r>
              <w:rPr>
                <w:rFonts w:ascii="Arial" w:cs="Arial" w:eastAsia="Arial" w:hAnsi="Arial"/>
                <w:sz w:val="18"/>
                <w:szCs w:val="18"/>
                <w:color w:val="auto"/>
              </w:rPr>
              <w:t>(712)</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(2,350)</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(2,357)</w:t>
            </w: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Issuance of common stock under employee stock purchase plan</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1,505</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1,505</w:t>
            </w:r>
          </w:p>
        </w:tc>
      </w:tr>
      <w:tr>
        <w:trPr>
          <w:trHeight w:val="237"/>
        </w:trPr>
        <w:tc>
          <w:tcPr>
            <w:tcW w:w="57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1,776</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1,776</w:t>
            </w:r>
          </w:p>
        </w:tc>
      </w:tr>
      <w:tr>
        <w:trPr>
          <w:trHeight w:val="432"/>
        </w:trPr>
        <w:tc>
          <w:tcPr>
            <w:tcW w:w="5760" w:type="dxa"/>
            <w:vAlign w:val="bottom"/>
          </w:tcPr>
          <w:p>
            <w:pPr>
              <w:spacing w:after="0"/>
              <w:rPr>
                <w:sz w:val="20"/>
                <w:szCs w:val="20"/>
                <w:color w:val="auto"/>
              </w:rPr>
            </w:pPr>
            <w:r>
              <w:rPr>
                <w:rFonts w:ascii="Arial" w:cs="Arial" w:eastAsia="Arial" w:hAnsi="Arial"/>
                <w:sz w:val="18"/>
                <w:szCs w:val="18"/>
                <w:color w:val="auto"/>
              </w:rPr>
              <w:t>Balance at December 31, 2008</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23,281</w:t>
            </w:r>
          </w:p>
        </w:tc>
        <w:tc>
          <w:tcPr>
            <w:tcW w:w="2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83,143</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(28,853)</w:t>
            </w:r>
          </w:p>
        </w:tc>
        <w:tc>
          <w:tcPr>
            <w:tcW w:w="24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54,523</w:t>
            </w:r>
          </w:p>
        </w:tc>
      </w:tr>
      <w:tr>
        <w:trPr>
          <w:trHeight w:val="418"/>
        </w:trPr>
        <w:tc>
          <w:tcPr>
            <w:tcW w:w="5760" w:type="dxa"/>
            <w:vAlign w:val="bottom"/>
          </w:tcPr>
          <w:p>
            <w:pPr>
              <w:ind w:left="180"/>
              <w:spacing w:after="0"/>
              <w:rPr>
                <w:sz w:val="20"/>
                <w:szCs w:val="20"/>
                <w:color w:val="auto"/>
              </w:rPr>
            </w:pPr>
            <w:r>
              <w:rPr>
                <w:rFonts w:ascii="Arial" w:cs="Arial" w:eastAsia="Arial" w:hAnsi="Arial"/>
                <w:sz w:val="18"/>
                <w:szCs w:val="18"/>
                <w:color w:val="auto"/>
              </w:rPr>
              <w:t>Exercise of common stock options</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Repurchase of common stock</w:t>
            </w:r>
          </w:p>
        </w:tc>
        <w:tc>
          <w:tcPr>
            <w:tcW w:w="1040" w:type="dxa"/>
            <w:vAlign w:val="bottom"/>
          </w:tcPr>
          <w:p>
            <w:pPr>
              <w:jc w:val="right"/>
              <w:spacing w:after="0"/>
              <w:rPr>
                <w:sz w:val="20"/>
                <w:szCs w:val="20"/>
                <w:color w:val="auto"/>
              </w:rPr>
            </w:pPr>
            <w:r>
              <w:rPr>
                <w:rFonts w:ascii="Arial" w:cs="Arial" w:eastAsia="Arial" w:hAnsi="Arial"/>
                <w:sz w:val="18"/>
                <w:szCs w:val="18"/>
                <w:color w:val="auto"/>
              </w:rPr>
              <w:t>(3,500)</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(8,915)</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(8,950)</w:t>
            </w: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Issuance of unrestricted stock</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Issuance of common stock under employee stock purchase plan</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1,737</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1,737</w:t>
            </w:r>
          </w:p>
        </w:tc>
      </w:tr>
      <w:tr>
        <w:trPr>
          <w:trHeight w:val="237"/>
        </w:trPr>
        <w:tc>
          <w:tcPr>
            <w:tcW w:w="57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982</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982</w:t>
            </w:r>
          </w:p>
        </w:tc>
      </w:tr>
      <w:tr>
        <w:trPr>
          <w:trHeight w:val="432"/>
        </w:trPr>
        <w:tc>
          <w:tcPr>
            <w:tcW w:w="5760" w:type="dxa"/>
            <w:vAlign w:val="bottom"/>
          </w:tcPr>
          <w:p>
            <w:pPr>
              <w:spacing w:after="0"/>
              <w:rPr>
                <w:sz w:val="20"/>
                <w:szCs w:val="20"/>
                <w:color w:val="auto"/>
              </w:rPr>
            </w:pPr>
            <w:r>
              <w:rPr>
                <w:rFonts w:ascii="Arial" w:cs="Arial" w:eastAsia="Arial" w:hAnsi="Arial"/>
                <w:sz w:val="18"/>
                <w:szCs w:val="18"/>
                <w:color w:val="auto"/>
              </w:rPr>
              <w:t>Balance at December 31, 2009</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19,809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198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76,032</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(27,870)</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48,360</w:t>
            </w:r>
          </w:p>
        </w:tc>
      </w:tr>
      <w:tr>
        <w:trPr>
          <w:trHeight w:val="21"/>
        </w:trPr>
        <w:tc>
          <w:tcPr>
            <w:tcW w:w="5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256"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We are a leading supplier of products for the biometrics and Digital Subscriber Line (“DSL”) test industries. We sell software products for biometrics and imaging applications and hardware and software products for DSL test and diagnostics applications. We sell our software products for biometrics, medical and digital imaging applications and professional services for biometrics primarily through an OEM sales channel. We sell our DSL test hardware and software products primarily through an OEM sales channel. We also sell and/or license patents related to communications, signal processing, and compression technologies.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6" w:lineRule="exact"/>
        <w:rPr>
          <w:sz w:val="20"/>
          <w:szCs w:val="20"/>
          <w:color w:val="auto"/>
        </w:rPr>
      </w:pPr>
    </w:p>
    <w:p>
      <w:pPr>
        <w:jc w:val="both"/>
        <w:ind w:left="500"/>
        <w:spacing w:after="0" w:line="342" w:lineRule="auto"/>
        <w:rPr>
          <w:sz w:val="20"/>
          <w:szCs w:val="20"/>
          <w:color w:val="auto"/>
        </w:rPr>
      </w:pPr>
      <w:r>
        <w:rPr>
          <w:rFonts w:ascii="Arial" w:cs="Arial" w:eastAsia="Arial" w:hAnsi="Arial"/>
          <w:sz w:val="16"/>
          <w:szCs w:val="16"/>
          <w:b w:val="1"/>
          <w:bCs w:val="1"/>
          <w:i w:val="1"/>
          <w:iCs w:val="1"/>
          <w:color w:val="auto"/>
        </w:rPr>
        <w:t xml:space="preserve">Basis of Presentation </w:t>
      </w:r>
      <w:r>
        <w:rPr>
          <w:rFonts w:ascii="Arial" w:cs="Arial" w:eastAsia="Arial" w:hAnsi="Arial"/>
          <w:sz w:val="16"/>
          <w:szCs w:val="16"/>
          <w:color w:val="auto"/>
        </w:rPr>
        <w:t>- The consolidated financial statements include the accounts of Aware, Inc. and its subsidiary. All significant intercompany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transactions have been eliminated. We evaluated subsequent events through February 12, 2010, the date of financial statement issuance.</w:t>
      </w:r>
    </w:p>
    <w:p>
      <w:pPr>
        <w:spacing w:after="0" w:line="151" w:lineRule="exact"/>
        <w:rPr>
          <w:sz w:val="20"/>
          <w:szCs w:val="20"/>
          <w:color w:val="auto"/>
        </w:rPr>
      </w:pPr>
    </w:p>
    <w:p>
      <w:pPr>
        <w:jc w:val="both"/>
        <w:ind w:left="500"/>
        <w:spacing w:after="0" w:line="276" w:lineRule="auto"/>
        <w:rPr>
          <w:sz w:val="20"/>
          <w:szCs w:val="20"/>
          <w:color w:val="auto"/>
        </w:rPr>
      </w:pPr>
      <w:r>
        <w:rPr>
          <w:rFonts w:ascii="Arial" w:cs="Arial" w:eastAsia="Arial" w:hAnsi="Arial"/>
          <w:sz w:val="17"/>
          <w:szCs w:val="17"/>
          <w:b w:val="1"/>
          <w:bCs w:val="1"/>
          <w:i w:val="1"/>
          <w:iCs w:val="1"/>
          <w:color w:val="auto"/>
        </w:rPr>
        <w:t xml:space="preserve">Fair Value Measurements </w:t>
      </w:r>
      <w:r>
        <w:rPr>
          <w:rFonts w:ascii="Arial" w:cs="Arial" w:eastAsia="Arial" w:hAnsi="Arial"/>
          <w:sz w:val="17"/>
          <w:szCs w:val="17"/>
          <w:color w:val="auto"/>
        </w:rPr>
        <w:t>- The FASB issued authoritative guidance for fair value measurements in September 2006, which defines fair value,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establishes a framework for measuring fair value, and expands disclosures for assets and liabilities measured at fair value in financial statements. This guidance is set forth in FASB Accounting Standards Codification Topic 820 (ASC 820). We adopted the provisions of ASC 820 as of January 1, 2008, for our financial instruments. Although the adoption of ASC 820 did not materially impact our financial condition, results of operations, or cash flow, we are now required to provide additional disclosures as part of our financial statements.</w:t>
      </w:r>
    </w:p>
    <w:p>
      <w:pPr>
        <w:spacing w:after="0" w:line="200"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The fair value guidance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214"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For recognition purposes, on a recurring basis we are required to measure available for sale investments at fair value. We had no available for sale investments as of December 31, 2009 or December 31, 2008.</w:t>
      </w:r>
    </w:p>
    <w:p>
      <w:pPr>
        <w:spacing w:after="0" w:line="197"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Our cash and cash equivalents, including money market securities, are also classified within Level 1 of the fair value hierarchy because they are valued using quoted market prices.</w:t>
      </w:r>
    </w:p>
    <w:p>
      <w:pPr>
        <w:spacing w:after="0" w:line="197"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 Cash and cash equivalents consist primarily of demand deposits and money market funds, which are stated at cost,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approximates fair value.</w:t>
      </w:r>
    </w:p>
    <w:p>
      <w:pPr>
        <w:spacing w:after="0" w:line="197" w:lineRule="exact"/>
        <w:rPr>
          <w:sz w:val="20"/>
          <w:szCs w:val="20"/>
          <w:color w:val="auto"/>
        </w:rPr>
      </w:pPr>
    </w:p>
    <w:p>
      <w:pPr>
        <w:jc w:val="both"/>
        <w:ind w:left="500" w:right="20"/>
        <w:spacing w:after="0" w:line="277" w:lineRule="auto"/>
        <w:rPr>
          <w:sz w:val="20"/>
          <w:szCs w:val="20"/>
          <w:color w:val="auto"/>
        </w:rPr>
      </w:pPr>
      <w:r>
        <w:rPr>
          <w:rFonts w:ascii="Arial" w:cs="Arial" w:eastAsia="Arial" w:hAnsi="Arial"/>
          <w:sz w:val="18"/>
          <w:szCs w:val="18"/>
          <w:b w:val="1"/>
          <w:bCs w:val="1"/>
          <w:i w:val="1"/>
          <w:iCs w:val="1"/>
          <w:color w:val="auto"/>
        </w:rPr>
        <w:t xml:space="preserve">Allowance for Doubtful Accounts </w:t>
      </w:r>
      <w:r>
        <w:rPr>
          <w:rFonts w:ascii="Arial" w:cs="Arial" w:eastAsia="Arial" w:hAnsi="Arial"/>
          <w:sz w:val="18"/>
          <w:szCs w:val="18"/>
          <w:color w:val="auto"/>
        </w:rPr>
        <w:t>– Accounts are charged to the allowance for doubtful accounts as they are deemed uncollectible based on a periodic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review of the accounts.</w:t>
      </w:r>
    </w:p>
    <w:p>
      <w:pPr>
        <w:spacing w:after="0" w:line="197" w:lineRule="exact"/>
        <w:rPr>
          <w:sz w:val="20"/>
          <w:szCs w:val="20"/>
          <w:color w:val="auto"/>
        </w:rPr>
      </w:pPr>
    </w:p>
    <w:p>
      <w:pPr>
        <w:jc w:val="both"/>
        <w:ind w:left="500"/>
        <w:spacing w:after="0" w:line="308" w:lineRule="auto"/>
        <w:rPr>
          <w:sz w:val="20"/>
          <w:szCs w:val="20"/>
          <w:color w:val="auto"/>
        </w:rPr>
      </w:pPr>
      <w:r>
        <w:rPr>
          <w:rFonts w:ascii="Arial" w:cs="Arial" w:eastAsia="Arial" w:hAnsi="Arial"/>
          <w:sz w:val="17"/>
          <w:szCs w:val="17"/>
          <w:b w:val="1"/>
          <w:bCs w:val="1"/>
          <w:i w:val="1"/>
          <w:iCs w:val="1"/>
          <w:color w:val="auto"/>
        </w:rPr>
        <w:t xml:space="preserve">Inventories </w:t>
      </w:r>
      <w:r>
        <w:rPr>
          <w:rFonts w:ascii="Arial" w:cs="Arial" w:eastAsia="Arial" w:hAnsi="Arial"/>
          <w:sz w:val="17"/>
          <w:szCs w:val="17"/>
          <w:color w:val="auto"/>
        </w:rPr>
        <w:t>– Inventories are stated at the lower of cost or net realizable value. Cost is determined by the first-in, first-out (“FIFO”) method.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evaluate all inventories for net realizable value on a quarterly basis, and record provisions for excess and obsolete inventory when required.</w:t>
      </w:r>
    </w:p>
    <w:p>
      <w:pPr>
        <w:spacing w:after="0" w:line="174"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b w:val="1"/>
          <w:bCs w:val="1"/>
          <w:i w:val="1"/>
          <w:iCs w:val="1"/>
          <w:color w:val="auto"/>
        </w:rPr>
        <w:t xml:space="preserve">Property and Equipment </w:t>
      </w:r>
      <w:r>
        <w:rPr>
          <w:rFonts w:ascii="Arial" w:cs="Arial" w:eastAsia="Arial" w:hAnsi="Arial"/>
          <w:sz w:val="18"/>
          <w:szCs w:val="18"/>
          <w:color w:val="auto"/>
        </w:rPr>
        <w:t>– Property and equipment are stated at cost. Depreciation and amortization of property and equipment is provided using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straight-line method over the estimated useful lives of the assets. Upon retirement or sale, the costs of the assets disposed of and the related accumulated depreciation are removed from the accounts and any resulting gain or loss is included in the determination of income or loss. Expenditures for repairs and maintenance are charged to expense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8" w:name="page39"/>
    <w:bookmarkEnd w:id="38"/>
    <w:p>
      <w:pPr>
        <w:jc w:val="center"/>
        <w:ind w:right="480"/>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The estimated useful lives of assets used by us are:</w:t>
      </w:r>
    </w:p>
    <w:p>
      <w:pPr>
        <w:sectPr>
          <w:pgSz w:w="11900" w:h="16838" w:orient="portrait"/>
          <w:cols w:equalWidth="0" w:num="1">
            <w:col w:w="10920"/>
          </w:cols>
          <w:pgMar w:left="740" w:top="607" w:right="239" w:bottom="1440" w:gutter="0" w:footer="0" w:header="0"/>
        </w:sectPr>
      </w:pPr>
    </w:p>
    <w:p>
      <w:pPr>
        <w:spacing w:after="0" w:line="24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Building and improvements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Building improvements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Furniture and fixtures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Computer, office &amp; manufacturing equipment</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Purchased software</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30 years</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5 to 20 years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200" w:lineRule="exact"/>
        <w:rPr>
          <w:sz w:val="20"/>
          <w:szCs w:val="20"/>
          <w:color w:val="auto"/>
        </w:rPr>
      </w:pPr>
    </w:p>
    <w:p>
      <w:pPr>
        <w:sectPr>
          <w:pgSz w:w="11900" w:h="16838" w:orient="portrait"/>
          <w:cols w:equalWidth="0" w:num="2">
            <w:col w:w="4560" w:space="720"/>
            <w:col w:w="5640"/>
          </w:cols>
          <w:pgMar w:left="740" w:top="607" w:right="239" w:bottom="1440" w:gutter="0" w:footer="0" w:header="0"/>
          <w:type w:val="continuous"/>
        </w:sectPr>
      </w:pPr>
    </w:p>
    <w:p>
      <w:pPr>
        <w:spacing w:after="0" w:line="3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Impairment of Long-Lived Assets </w:t>
      </w:r>
      <w:r>
        <w:rPr>
          <w:rFonts w:ascii="Arial" w:cs="Arial" w:eastAsia="Arial" w:hAnsi="Arial"/>
          <w:sz w:val="16"/>
          <w:szCs w:val="16"/>
          <w:color w:val="auto"/>
        </w:rPr>
        <w:t>– We review long-lived assets for impairment whenever events or changes in business circumstances indicate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carrying amount of the assets may not be fully recoverable or that the useful lives of these assets are no longer appropriate. Each impairment test is based on a comparison of the undiscounted cash flows to the recorded value of the asset. If an impairment is indicated, the asset is written down to its estimated fair value. The cash flow estimates used to identify the potential impairment reflect our best estimates using appropriate assumptions and projections at that time. We believe that no significant impairment of our long-lived assets has occurred as of December 31, 2009 and 2008.</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 We recognize revenue by applying the principles in FASB Topic ASC 605, Revenue Recognition. Our general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recognition policy is to recognize revenue when there is persuasive evidence of an arrangement, the sales price is fixed or determinable, collection of the related receivable is reasonably assured, and delivery has occurred or services have been rendered.</w:t>
      </w:r>
    </w:p>
    <w:p>
      <w:pPr>
        <w:spacing w:after="0" w:line="2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Persuasive evidence of an arrangement: </w:t>
      </w:r>
      <w:r>
        <w:rPr>
          <w:rFonts w:ascii="Arial" w:cs="Arial" w:eastAsia="Arial" w:hAnsi="Arial"/>
          <w:sz w:val="18"/>
          <w:szCs w:val="18"/>
          <w:color w:val="auto"/>
        </w:rPr>
        <w:t>We use contracts signed by both the customer and us or written purchase orders issued by the customer as</w:t>
      </w:r>
      <w:r>
        <w:rPr>
          <w:rFonts w:ascii="Arial" w:cs="Arial" w:eastAsia="Arial" w:hAnsi="Arial"/>
          <w:sz w:val="18"/>
          <w:szCs w:val="18"/>
          <w:i w:val="1"/>
          <w:iCs w:val="1"/>
          <w:color w:val="auto"/>
        </w:rPr>
        <w:t xml:space="preserve"> </w:t>
      </w:r>
      <w:r>
        <w:rPr>
          <w:rFonts w:ascii="Arial" w:cs="Arial" w:eastAsia="Arial" w:hAnsi="Arial"/>
          <w:sz w:val="18"/>
          <w:szCs w:val="18"/>
          <w:color w:val="auto"/>
        </w:rPr>
        <w:t>evidence of an arrangement.</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Product delivery: </w:t>
      </w:r>
      <w:r>
        <w:rPr>
          <w:rFonts w:ascii="Arial" w:cs="Arial" w:eastAsia="Arial" w:hAnsi="Arial"/>
          <w:sz w:val="18"/>
          <w:szCs w:val="18"/>
          <w:color w:val="auto"/>
        </w:rPr>
        <w:t>We deem delivery to have occurred: (i) upon shipment when products are shipped FOB shipping point, or (ii) upon delivery at a</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location when products are shipped FOB destination. If customer acceptance provisions apply, revenue is not recognized until delivery has occurred and we have received such acceptance. If we are required to provide installation services, which is rare under our OEM business model, revenue is not recognized until installation is complete.</w:t>
      </w:r>
    </w:p>
    <w:p>
      <w:pPr>
        <w:spacing w:after="0" w:line="21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Fixed or determinable fee: </w:t>
      </w:r>
      <w:r>
        <w:rPr>
          <w:rFonts w:ascii="Arial" w:cs="Arial" w:eastAsia="Arial" w:hAnsi="Arial"/>
          <w:sz w:val="16"/>
          <w:szCs w:val="16"/>
          <w:color w:val="auto"/>
        </w:rPr>
        <w:t>We consider fees to be fixed or determinable if the fee is not subject to refund or adjustment and the payment terms are</w:t>
      </w:r>
      <w:r>
        <w:rPr>
          <w:rFonts w:ascii="Arial" w:cs="Arial" w:eastAsia="Arial" w:hAnsi="Arial"/>
          <w:sz w:val="16"/>
          <w:szCs w:val="16"/>
          <w:i w:val="1"/>
          <w:iCs w:val="1"/>
          <w:color w:val="auto"/>
        </w:rPr>
        <w:t xml:space="preserve"> </w:t>
      </w:r>
      <w:r>
        <w:rPr>
          <w:rFonts w:ascii="Arial" w:cs="Arial" w:eastAsia="Arial" w:hAnsi="Arial"/>
          <w:sz w:val="16"/>
          <w:szCs w:val="16"/>
          <w:color w:val="auto"/>
        </w:rPr>
        <w:t>within normal established practices. If the fee is not fixed or determinable, we recognize the revenue as amounts become due and payable.</w:t>
      </w:r>
    </w:p>
    <w:p>
      <w:pPr>
        <w:spacing w:after="0" w:line="15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Collection is deemed probable: </w:t>
      </w:r>
      <w:r>
        <w:rPr>
          <w:rFonts w:ascii="Arial" w:cs="Arial" w:eastAsia="Arial" w:hAnsi="Arial"/>
          <w:sz w:val="18"/>
          <w:szCs w:val="18"/>
          <w:color w:val="auto"/>
        </w:rPr>
        <w:t>We conduct a credit review for all significant transactions at the time of the arrangement to determine the credit-worthiness of the customer. Collection is deemed probable if we expect that the customer will pay amounts under the arrangement as payments become due.</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categorize revenue as product sales, contract revenue, or royalties depending on the nature of the revenue. In addition to the general revenue recognition policies described above, specific revenue recognition policies apply to each category of revenue.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Product sales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Product sales consist of revenue from the sale of hardware and software products. Specific revenue recognition policies for product sales are:</w:t>
      </w:r>
    </w:p>
    <w:p>
      <w:pPr>
        <w:spacing w:after="0" w:line="24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Hardware product sales</w:t>
      </w:r>
      <w:r>
        <w:rPr>
          <w:rFonts w:ascii="Arial" w:cs="Arial" w:eastAsia="Arial" w:hAnsi="Arial"/>
          <w:sz w:val="17"/>
          <w:szCs w:val="17"/>
          <w:color w:val="auto"/>
        </w:rPr>
        <w:t>. Hardware product sales consist of revenue from the sale of DSL test and diagnostic hardware products. Hardware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are typically sold independently of other revenue elements, such as software, services and maintenance. Accordingly, the terms of hardware sales generally do not contain provisions that obligate us to provide additional products or services after shipment. Additionally, we do not grant return rights other than normal warranty rights of return. We recognize hardware revenue upon delivery.</w:t>
      </w:r>
    </w:p>
    <w:p>
      <w:pPr>
        <w:spacing w:after="0" w:line="19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Software product sales. </w:t>
      </w:r>
      <w:r>
        <w:rPr>
          <w:rFonts w:ascii="Arial" w:cs="Arial" w:eastAsia="Arial" w:hAnsi="Arial"/>
          <w:sz w:val="16"/>
          <w:szCs w:val="16"/>
          <w:color w:val="auto"/>
        </w:rPr>
        <w:t>Software product sales consist of revenue from the sale of biometrics and digital imaging software products as well as</w:t>
      </w:r>
      <w:r>
        <w:rPr>
          <w:rFonts w:ascii="Arial" w:cs="Arial" w:eastAsia="Arial" w:hAnsi="Arial"/>
          <w:sz w:val="16"/>
          <w:szCs w:val="16"/>
          <w:i w:val="1"/>
          <w:iCs w:val="1"/>
          <w:color w:val="auto"/>
        </w:rPr>
        <w:t xml:space="preserve"> </w:t>
      </w:r>
      <w:r>
        <w:rPr>
          <w:rFonts w:ascii="Arial" w:cs="Arial" w:eastAsia="Arial" w:hAnsi="Arial"/>
          <w:sz w:val="16"/>
          <w:szCs w:val="16"/>
          <w:color w:val="auto"/>
        </w:rPr>
        <w:t>DSL test and diagnostics software. Software product sales from these product lines include: i) software licenses and ii) maintenance contracts that entitle customers to technical support and product updates during the contract period. We do not grant return rights other than normal warranty rights of return. We recognize software revenue by applying the software revenue recognition principles embodied in section 965 of ASC Topic 605.</w:t>
      </w:r>
    </w:p>
    <w:p>
      <w:pPr>
        <w:spacing w:after="0" w:line="397"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920"/>
          </w:cols>
          <w:pgMar w:left="740" w:top="607" w:right="239" w:bottom="1440" w:gutter="0" w:footer="0" w:header="0"/>
          <w:type w:val="continuous"/>
        </w:sectPr>
      </w:pPr>
    </w:p>
    <w:bookmarkStart w:id="39" w:name="page40"/>
    <w:bookmarkEnd w:id="39"/>
    <w:p>
      <w:pPr>
        <w:jc w:val="center"/>
        <w:ind w:right="480"/>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When software licenses or maintenance contracts are sold separately, we recognize software license revenue upon delivery and maintenance contract revenue ratably over the related contract period. When software licenses and maintenance contracts are sold together, we generally recognize software license revenue upon delivery, provided we have vendor specific objective evidence (“VSOE”) for the fair value of the maintenance contract fee, and we generally recognize the fair value of maintenance contract revenue ratably over the related contract period. If we do not have VSOE for the fair value of the maintenance contract fee, we recognize software license and maintenance contract revenue ratably over the related contract period.</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maintenance contract revenue upon delivery of software licenses when: i) customers purchase maintenance with their initial purchase of software licenses; ii) the maintenance contract period is for a period of one year or less, iii) the estimated cost of providing maintenance services during the contract period is insignificant, and iv) unspecified upgrades offered during PCS arrangements historically have been and are expected to continue to be minimal and infrequent.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 revenue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Contract revenue primarily consists of: i) engineering service fees from DSL silicon customers for product development projects or ongoing engineering support; ii) engineering service fees from biometrics customers for professional services; and iii) patent fees from the license and/or sale of patents. Our specific revenue recognition policies for each source of contract revenue are as follows:</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DSL engineering services fees. </w:t>
      </w:r>
      <w:r>
        <w:rPr>
          <w:rFonts w:ascii="Arial" w:cs="Arial" w:eastAsia="Arial" w:hAnsi="Arial"/>
          <w:sz w:val="18"/>
          <w:szCs w:val="18"/>
          <w:color w:val="auto"/>
        </w:rPr>
        <w:t>In recent years, DSL engineering services have been primarily sold separately. We recognize contract revenue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these agreements as engineering services are performed or as contract milestones are achieved.</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Biometrics engineering services fees. </w:t>
      </w:r>
      <w:r>
        <w:rPr>
          <w:rFonts w:ascii="Arial" w:cs="Arial" w:eastAsia="Arial" w:hAnsi="Arial"/>
          <w:sz w:val="18"/>
          <w:szCs w:val="18"/>
          <w:color w:val="auto"/>
        </w:rPr>
        <w:t>Biometrics engineering services are either sold separately or as part of a multiple element transaction. When sold</w:t>
      </w:r>
      <w:r>
        <w:rPr>
          <w:rFonts w:ascii="Arial" w:cs="Arial" w:eastAsia="Arial" w:hAnsi="Arial"/>
          <w:sz w:val="18"/>
          <w:szCs w:val="18"/>
          <w:i w:val="1"/>
          <w:iCs w:val="1"/>
          <w:color w:val="auto"/>
        </w:rPr>
        <w:t xml:space="preserve"> </w:t>
      </w:r>
      <w:r>
        <w:rPr>
          <w:rFonts w:ascii="Arial" w:cs="Arial" w:eastAsia="Arial" w:hAnsi="Arial"/>
          <w:sz w:val="18"/>
          <w:szCs w:val="18"/>
          <w:color w:val="auto"/>
        </w:rPr>
        <w:t>separately, we recognize contract revenue from these agreements as engineering services are performed or as contract milestones are achieved. When biometrics engineering services are sold with other revenue elements, such as software licenses and/or maintenance contracts, our revenue recognition policy is as follows.</w:t>
      </w:r>
    </w:p>
    <w:p>
      <w:pPr>
        <w:spacing w:after="0" w:line="214" w:lineRule="exact"/>
        <w:rPr>
          <w:sz w:val="20"/>
          <w:szCs w:val="20"/>
          <w:color w:val="auto"/>
        </w:rPr>
      </w:pPr>
    </w:p>
    <w:p>
      <w:pPr>
        <w:jc w:val="both"/>
        <w:ind w:left="660" w:hanging="203"/>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Services and software. </w:t>
      </w:r>
      <w:r>
        <w:rPr>
          <w:rFonts w:ascii="Arial" w:cs="Arial" w:eastAsia="Arial" w:hAnsi="Arial"/>
          <w:sz w:val="18"/>
          <w:szCs w:val="18"/>
          <w:color w:val="auto"/>
        </w:rPr>
        <w:t>When engineering services and software licenses are sold together, the total fee is generally recognized by applying</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accounting. We have adopted the percentage-of-completion method of contract accounting and we use an output method (i.e., contract milestones) to determine our completion percentage. The software license portion of the arrangement is classified as product sales and the engineering services portion is classified as contract revenue.</w:t>
      </w:r>
    </w:p>
    <w:p>
      <w:pPr>
        <w:spacing w:after="0" w:line="213" w:lineRule="exact"/>
        <w:rPr>
          <w:rFonts w:ascii="Arial" w:cs="Arial" w:eastAsia="Arial" w:hAnsi="Arial"/>
          <w:sz w:val="18"/>
          <w:szCs w:val="18"/>
          <w:color w:val="auto"/>
        </w:rPr>
      </w:pPr>
    </w:p>
    <w:p>
      <w:pPr>
        <w:jc w:val="both"/>
        <w:ind w:left="660" w:hanging="203"/>
        <w:spacing w:after="0" w:line="273"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Services, software and maintenance. </w:t>
      </w:r>
      <w:r>
        <w:rPr>
          <w:rFonts w:ascii="Arial" w:cs="Arial" w:eastAsia="Arial" w:hAnsi="Arial"/>
          <w:sz w:val="17"/>
          <w:szCs w:val="17"/>
          <w:color w:val="auto"/>
        </w:rPr>
        <w:t>When we sell services, software and maintenance together, revenue is recognized as follows: i)</w:t>
      </w:r>
      <w:r>
        <w:rPr>
          <w:rFonts w:ascii="Arial" w:cs="Arial" w:eastAsia="Arial" w:hAnsi="Arial"/>
          <w:sz w:val="17"/>
          <w:szCs w:val="17"/>
          <w:i w:val="1"/>
          <w:iCs w:val="1"/>
          <w:color w:val="auto"/>
        </w:rPr>
        <w:t xml:space="preserve"> </w:t>
      </w:r>
      <w:r>
        <w:rPr>
          <w:rFonts w:ascii="Arial" w:cs="Arial" w:eastAsia="Arial" w:hAnsi="Arial"/>
          <w:sz w:val="17"/>
          <w:szCs w:val="17"/>
          <w:color w:val="auto"/>
        </w:rPr>
        <w:t>maintenance revenue is separated from the other two elements and is recognized ratably over the related contract period; provided we have VSOE for the fair value of the maintenance element; and ii) the total fee from the software license and engineering service elements is recognized by applying the contract accounting method described in the previous paragraph. If we do not have VSOE for the fair value of the maintenance element, we recognize revenue for the entire arrangement ratably over a period that begins at the start of the engineering services project and ends when all elements of the arrangement have been delivered.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Patent fees. </w:t>
      </w:r>
      <w:r>
        <w:rPr>
          <w:rFonts w:ascii="Arial" w:cs="Arial" w:eastAsia="Arial" w:hAnsi="Arial"/>
          <w:sz w:val="18"/>
          <w:szCs w:val="18"/>
          <w:color w:val="auto"/>
        </w:rPr>
        <w:t>We recognize revenue from patent fees upon delivery of patents, provided there are no significant post delivery obligations.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Royalties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Royalty revenue consists of royalties we receive under technology licensing agreements with customers that have incorporated our intellectual property into their products. Since we cannot reasonably estimate royalty revenue, such revenue is generally recognized in the quarter in which a final report is received from a customer. Royalty reports are typically received in the quarter immediately following the quarter in which sales of royalty-bearing products occur. The terms of our agreements generally require customers to give notification to us and to pay royalties within 45 to 60 days of the end of each quarter.</w:t>
      </w:r>
    </w:p>
    <w:p>
      <w:pPr>
        <w:spacing w:after="0" w:line="200" w:lineRule="exact"/>
        <w:rPr>
          <w:sz w:val="20"/>
          <w:szCs w:val="20"/>
          <w:color w:val="auto"/>
        </w:rPr>
      </w:pPr>
    </w:p>
    <w:p>
      <w:pPr>
        <w:spacing w:after="0" w:line="234"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920"/>
          </w:cols>
          <w:pgMar w:left="740" w:top="607" w:right="239" w:bottom="1440" w:gutter="0" w:footer="0" w:header="0"/>
        </w:sectPr>
      </w:pPr>
    </w:p>
    <w:bookmarkStart w:id="40" w:name="page41"/>
    <w:bookmarkEnd w:id="40"/>
    <w:p>
      <w:pPr>
        <w:jc w:val="center"/>
        <w:ind w:right="480"/>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 We compute deferred income taxes based on the differences between the financial statement and tax basis of assets and liabilities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using enacted rates in effect in the years in which the differences are expected to reverse. We establish a valuation allowance to offset temporary deductible differences, net operating loss carryforwards and tax credits when it is more likely than not that the deferred tax assets will not be realized.</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Capitalization of Software Costs </w:t>
      </w:r>
      <w:r>
        <w:rPr>
          <w:rFonts w:ascii="Arial" w:cs="Arial" w:eastAsia="Arial" w:hAnsi="Arial"/>
          <w:sz w:val="17"/>
          <w:szCs w:val="17"/>
          <w:color w:val="auto"/>
        </w:rPr>
        <w:t>– We capitalize certain internally developed software development costs after technological feasibility of the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been established. No software costs were capitalized for the years ended December 31, 2009, 2008 and 2007, because such costs incurred subsequent to the establishment of technological feasibility, but prior to commercial availability, were immaterial.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Research and Development Costs </w:t>
      </w:r>
      <w:r>
        <w:rPr>
          <w:rFonts w:ascii="Arial" w:cs="Arial" w:eastAsia="Arial" w:hAnsi="Arial"/>
          <w:sz w:val="18"/>
          <w:szCs w:val="18"/>
          <w:color w:val="auto"/>
        </w:rPr>
        <w:t>– Costs incurred in the research and development of our products are expensed as incurred.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Concentration of Credit Risk </w:t>
      </w:r>
      <w:r>
        <w:rPr>
          <w:rFonts w:ascii="Arial" w:cs="Arial" w:eastAsia="Arial" w:hAnsi="Arial"/>
          <w:sz w:val="18"/>
          <w:szCs w:val="18"/>
          <w:color w:val="auto"/>
        </w:rPr>
        <w:t>– At December 31, 2009 and 2008, we had cash and investments, in excess of federally insured deposit limits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$39.6 and $45.4 million, respectively.</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Concentration of credit risk with respect to net accounts receivable consists of $0.9 million, $0.7 million, $0.3 million, and $0.2 million with four customers, respectively, at December 31, 2009 and $0.5 million, $0.3 million, and $0.2 million with three customers, respectively, at December 31, 2008.</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 We grant stock options to our employees and directors. Such grants are for a fixed number of shares with an exercise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price equal to the fair value of the shares at the date of grant. We adopted the provisions of FASB ASC Topic 718, Stock Compensation, which establishes accounting for equity instruments exchanged for employee services. Under the provisions of ASC 718, stock-based compensation cost is measured at the grant date, based on the fair value of the award, and is recognized as an expense over the employee’s requisite service period (generally the vesting period of the equity award). We use the Black-Scholes valuation model to estimate the fair value of service condition awards. This valuation model takes into account the exercise price of the award, as well as a variety of significant assumptions. These assumptions used to estimate the fair value of stock options include the expected term, the expected volatility of our stock over the expected term, the risk-free interest rate over the expected term, and our expected annual dividend yield. We recognize compensation costs on a straight-line basis over the requisite service period.</w:t>
      </w:r>
    </w:p>
    <w:p>
      <w:pPr>
        <w:spacing w:after="0" w:line="2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also award unrestricted stock to our employees under our 2001 Nonqualified Stock Plan. We record the fair value of such awards as stock-based compensation expense in accordance with the provisions of ASC 718.</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Computation of Earnings per Share </w:t>
      </w:r>
      <w:r>
        <w:rPr>
          <w:rFonts w:ascii="Arial" w:cs="Arial" w:eastAsia="Arial" w:hAnsi="Arial"/>
          <w:sz w:val="17"/>
          <w:szCs w:val="17"/>
          <w:color w:val="auto"/>
        </w:rPr>
        <w:t>– Basic earnings per share is computed by dividing income available to common shareholders by the weighted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average number of common shares outstanding. Diluted earnings per share is computed by dividing income available to common shareholders by the weighted average number of common shares outstanding plus additional common shares that would have been outstanding if dilutive potential common shares had been issued. For the purposes of this calculation, stock options are considered common stock equivalents in periods in which they have a dilutive effect. Stock options that are antidilutive are excluded from the calculation.</w:t>
      </w:r>
    </w:p>
    <w:p>
      <w:pPr>
        <w:spacing w:after="0" w:line="200" w:lineRule="exact"/>
        <w:rPr>
          <w:sz w:val="20"/>
          <w:szCs w:val="20"/>
          <w:color w:val="auto"/>
        </w:rPr>
      </w:pPr>
    </w:p>
    <w:p>
      <w:pPr>
        <w:spacing w:after="0" w:line="24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Use of Estimates </w:t>
      </w:r>
      <w:r>
        <w:rPr>
          <w:rFonts w:ascii="Arial" w:cs="Arial" w:eastAsia="Arial" w:hAnsi="Arial"/>
          <w:sz w:val="17"/>
          <w:szCs w:val="17"/>
          <w:color w:val="auto"/>
        </w:rPr>
        <w:t>– The preparation of our financial statements in conformity with generally accepted accounting principles requires us to make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estimates and assumptions that affect the reported amounts of assets and liabilities and disclosure of contingent assets and liabilities at the date of the financial statements and the reported amount of revenues and expenses during the reporting period. Significant estimates include revenue recognition, reserves for doubtful accounts, reserves for excess and obsolete inventory, useful lives of fixed assets, valuation allowance for deferred income tax assets, and accrued liabilities. Actual results could differ from those estimates.</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Fair Value of Financial Instruments </w:t>
      </w:r>
      <w:r>
        <w:rPr>
          <w:rFonts w:ascii="Arial" w:cs="Arial" w:eastAsia="Arial" w:hAnsi="Arial"/>
          <w:sz w:val="18"/>
          <w:szCs w:val="18"/>
          <w:color w:val="auto"/>
        </w:rPr>
        <w:t>– The carrying amounts of cash and cash equivalents, accounts receivable, accounts payable and accrued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approximate fair value because of their short-term nature.</w:t>
      </w:r>
    </w:p>
    <w:p>
      <w:pPr>
        <w:spacing w:after="0" w:line="200" w:lineRule="exact"/>
        <w:rPr>
          <w:sz w:val="20"/>
          <w:szCs w:val="20"/>
          <w:color w:val="auto"/>
        </w:rPr>
      </w:pPr>
    </w:p>
    <w:p>
      <w:pPr>
        <w:spacing w:after="0" w:line="214"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920"/>
          </w:cols>
          <w:pgMar w:left="740" w:top="607" w:right="239" w:bottom="1440" w:gutter="0" w:footer="0" w:header="0"/>
        </w:sectPr>
      </w:pPr>
    </w:p>
    <w:bookmarkStart w:id="41" w:name="page42"/>
    <w:bookmarkEnd w:id="41"/>
    <w:p>
      <w:pPr>
        <w:jc w:val="center"/>
        <w:ind w:right="480"/>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Comprehensive Income - </w:t>
      </w:r>
      <w:r>
        <w:rPr>
          <w:rFonts w:ascii="Arial" w:cs="Arial" w:eastAsia="Arial" w:hAnsi="Arial"/>
          <w:sz w:val="16"/>
          <w:szCs w:val="16"/>
          <w:color w:val="auto"/>
        </w:rPr>
        <w:t>Comprehensive income is defined as the change in equity of a business enterprise during a period from transactions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events and circumstances from non-owner sources, including foreign currency translation adjustments and unrealized gains and losses on marketable securities. For the years ended December 31, 2009, 2008, and 2007, comprehensive income was not materially different from net income.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Advertising Costs – </w:t>
      </w:r>
      <w:r>
        <w:rPr>
          <w:rFonts w:ascii="Arial" w:cs="Arial" w:eastAsia="Arial" w:hAnsi="Arial"/>
          <w:sz w:val="18"/>
          <w:szCs w:val="18"/>
          <w:color w:val="auto"/>
        </w:rPr>
        <w:t>Advertising costs are expensed as incurred and were not material for 2009, 2008, and 2007.</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Recent Accounting Pronouncements </w:t>
      </w:r>
      <w:r>
        <w:rPr>
          <w:rFonts w:ascii="Arial" w:cs="Arial" w:eastAsia="Arial" w:hAnsi="Arial"/>
          <w:sz w:val="18"/>
          <w:szCs w:val="18"/>
          <w:color w:val="auto"/>
        </w:rPr>
        <w:t>– We describe below recent pronouncements that have had or may have a significant effect on our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We do not discuss recent pronouncements that are not anticipated to have an impact on or are unrelated to our financial condition, results of operations, or disclosures.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2009, the FASB issued Update No. 2009-01, which establishes the FASB Accounting Standards Codification (the Codification) as the source of authoritative accounting principles recognized by the FASB to be applied by nongovernmental entities in the preparation of financial statements in conformity with generally accepted accounting principles (GAAP). The Codification is effective for interim and annual periods ending after September 15, 2009. We adopted the Codification when referring to GAAP in the third quarter of 2009. The adoption of the Codification did not have an impact on our consolidated results.</w:t>
      </w:r>
    </w:p>
    <w:p>
      <w:pPr>
        <w:spacing w:after="0" w:line="2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FASB issued authoritative guidance related to subsequent events in May 2009, which establishes general standards of accounting for and disclosure of events that occur after the balance sheet date but before the financial statements are issued or are available to be issued. This guidance is set forth in Topic 855 in the Accounting Standards Codification (ASC 855). ASC 855 provides guidance on the period after the balance sheet date during which management of a reporting entity should evaluate events or transactions that may occur for potential recognition or disclosure in the financial statements, the circumstances under which an entity should recognize events or transactions occurring after the balance sheet date in its financial statements and the disclosures that an entity should make about events or transactions that occurred after the balance sheet date. We adopted ASC 855 in the second quarter of 2009, and its application had no impact on our consolidated financial statements.</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FASB issued authoritative guidance for fair value measurements in September 2006, which defines fair value, establishes a framework for measuring fair value, and expands disclosures assets and liabilities measured at fair value in financial statements. This guidance is set forth in Topic 820 in the Accounting Standards Codification (ASC 820). ASC 820 does not require any new fair value measurements but rather eliminates inconsistencies in guidance found in various prior accounting pronouncements. ASC 820 is effective for fiscal years beginning after November 15, 2007. However, on February 6, 2008, the FASB issued authoritative guidance which deferred the effective date of ASC 820 for one year for nonfinancial assets and nonfinancial liabilities that are recognized or disclosed at fair value in the financial statements on a recurring basis. We adopted ASC 820 on January 1, 2008, except as it applies to those nonfinancial assets and nonfinancial liabilities as noted in the FASB’s February 6, 2008 guidance. We adopted the provisions of ASC 820 that relate to nonfinancial assets and nonfinancial liabilities on January 1, 2009. The adoption of ASC 820 did not have a material impact on our consolidated financial position, results of operations or cash flows.</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2007, the FASB issued authoritative guidance related to noncontrolling interests in consolidated financial statements, which was an amendment of ARB No. 51. This guidance is set forth in Topic 810 in the Accounting Standards Codification (ASC 810). ASC 810 establishes accounting and reporting standards for the noncontrolling interest in a subsidiary and for the deconsolidation of a subsidiary. This accounting standard is effective for fiscal years beginning after December 15, 2008. We adopted ASC 810 on January 1, 2009. The adoption of ASC 810 did not have a material impact on our consolidated financial position, results of operations or cash flows.</w:t>
      </w:r>
    </w:p>
    <w:p>
      <w:pPr>
        <w:spacing w:after="0" w:line="200" w:lineRule="exact"/>
        <w:rPr>
          <w:sz w:val="20"/>
          <w:szCs w:val="20"/>
          <w:color w:val="auto"/>
        </w:rPr>
      </w:pPr>
    </w:p>
    <w:p>
      <w:pPr>
        <w:spacing w:after="0" w:line="231"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920"/>
          </w:cols>
          <w:pgMar w:left="740" w:top="607" w:right="239" w:bottom="1440" w:gutter="0" w:footer="0" w:header="0"/>
        </w:sectPr>
      </w:pPr>
    </w:p>
    <w:bookmarkStart w:id="42" w:name="page43"/>
    <w:bookmarkEnd w:id="42"/>
    <w:p>
      <w:pPr>
        <w:jc w:val="center"/>
        <w:ind w:right="20"/>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ind w:left="500" w:right="20"/>
        <w:spacing w:after="0" w:line="254" w:lineRule="auto"/>
        <w:rPr>
          <w:sz w:val="20"/>
          <w:szCs w:val="20"/>
          <w:color w:val="auto"/>
        </w:rPr>
      </w:pPr>
      <w:r>
        <w:rPr>
          <w:rFonts w:ascii="Arial" w:cs="Arial" w:eastAsia="Arial" w:hAnsi="Arial"/>
          <w:sz w:val="18"/>
          <w:szCs w:val="18"/>
          <w:color w:val="auto"/>
        </w:rPr>
        <w:t>In December 2007, the FASB issued revised authoritative guidance for business combinations, which establishes principles and requirements for how the acquirer in a business combination: i) recognizes and measures in its financial statements the identifiable assets acquired, the liabilities assumed, an any noncontrolling interest in the acquiree, ii) recognizes and measures the goodwill acquired in the business combination or a gain from a bargain purchase, and iii) determines what information to disclose to enable users of the financial statements to evaluate the nature and financial effects of the business combination. This guidance is set forth in Topic 805 in the Accounting Standards Codification (ASC 805). This accounting standard is effective for fiscal years beginning after December 15, 2008. We adopted ASC 805 on January 1, 2009. The adoption of ASC 805 did not have a material impact on our consolidated financial position, results of operations or cash flows as of the date of adoption. ASC 805 will be applied to any future business combinations.</w:t>
      </w:r>
    </w:p>
    <w:p>
      <w:pPr>
        <w:spacing w:after="0" w:line="219" w:lineRule="exact"/>
        <w:rPr>
          <w:sz w:val="20"/>
          <w:szCs w:val="20"/>
          <w:color w:val="auto"/>
        </w:rPr>
      </w:pPr>
    </w:p>
    <w:p>
      <w:pPr>
        <w:jc w:val="both"/>
        <w:ind w:left="500" w:right="20"/>
        <w:spacing w:after="0" w:line="273" w:lineRule="auto"/>
        <w:rPr>
          <w:sz w:val="20"/>
          <w:szCs w:val="20"/>
          <w:color w:val="auto"/>
        </w:rPr>
      </w:pPr>
      <w:r>
        <w:rPr>
          <w:rFonts w:ascii="Arial" w:cs="Arial" w:eastAsia="Arial" w:hAnsi="Arial"/>
          <w:sz w:val="17"/>
          <w:szCs w:val="17"/>
          <w:color w:val="auto"/>
        </w:rPr>
        <w:t>In October 2009, the FASB issued Accounting Standards Update (ASU) 2009-13, “Multiple-Deliverable Revenue Arrangements,” which amends ASC 605-25. ASU 2009-13 modifies how consideration is allocated for the purpose of revenue recognition when an arrangement involves multiple deliverables and expands the related disclosure requirements. The guidance eliminates the residual method of revenue allocation, and requires that the vendor use its best estimate to allocate arrangement consideration between the deliverables in cases where neither vendor-specific objective evidence nor third-party evidence is available. ASU 2009-13 will be effective for us on January 1, 2011, with early adoption permitted. We are currently evaluating the impact the adoption of ASU 2009-13 will have on our financial position and results of operations.</w:t>
      </w:r>
    </w:p>
    <w:p>
      <w:pPr>
        <w:spacing w:after="0" w:line="178" w:lineRule="exact"/>
        <w:rPr>
          <w:sz w:val="20"/>
          <w:szCs w:val="20"/>
          <w:color w:val="auto"/>
        </w:rPr>
      </w:pPr>
    </w:p>
    <w:p>
      <w:pPr>
        <w:jc w:val="both"/>
        <w:ind w:left="500" w:right="20"/>
        <w:spacing w:after="0" w:line="279" w:lineRule="auto"/>
        <w:rPr>
          <w:sz w:val="20"/>
          <w:szCs w:val="20"/>
          <w:color w:val="auto"/>
        </w:rPr>
      </w:pPr>
      <w:r>
        <w:rPr>
          <w:rFonts w:ascii="Arial" w:cs="Arial" w:eastAsia="Arial" w:hAnsi="Arial"/>
          <w:sz w:val="17"/>
          <w:szCs w:val="17"/>
          <w:color w:val="auto"/>
        </w:rPr>
        <w:t>In October 2009, the FASB issued ASU 2009-14, “Certain Revenue Arrangements That Include Software Elements,” which amends ASC 985-605. ASU 2009-14 modifies the scope of the software revenue guidance in ASC 985-605 to exclude tangible products that contain both software components and non-software components. ASU 2009-14 will be effective for us on January 1, 2011, with early adoption permitted. We are currently evaluating the impact the adoption of ASU 2009-14 will have on our financial position and results of operations.</w:t>
      </w:r>
    </w:p>
    <w:p>
      <w:pPr>
        <w:spacing w:after="0" w:line="194" w:lineRule="exact"/>
        <w:rPr>
          <w:sz w:val="20"/>
          <w:szCs w:val="20"/>
          <w:color w:val="auto"/>
        </w:rPr>
      </w:pPr>
    </w:p>
    <w:p>
      <w:pPr>
        <w:jc w:val="both"/>
        <w:ind w:left="500" w:right="20"/>
        <w:spacing w:after="0" w:line="282" w:lineRule="auto"/>
        <w:rPr>
          <w:sz w:val="20"/>
          <w:szCs w:val="20"/>
          <w:color w:val="auto"/>
        </w:rPr>
      </w:pPr>
      <w:r>
        <w:rPr>
          <w:rFonts w:ascii="Arial" w:cs="Arial" w:eastAsia="Arial" w:hAnsi="Arial"/>
          <w:sz w:val="18"/>
          <w:szCs w:val="18"/>
          <w:b w:val="1"/>
          <w:bCs w:val="1"/>
          <w:i w:val="1"/>
          <w:iCs w:val="1"/>
          <w:color w:val="auto"/>
        </w:rPr>
        <w:t xml:space="preserve">Segments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organize ourselves as one segment reporting to the chief operating decision-maker. We have sales outside of the United States,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described in Note 9. All long-lived assets are maintained in the United States.</w:t>
      </w:r>
    </w:p>
    <w:p>
      <w:pPr>
        <w:spacing w:after="0" w:line="200" w:lineRule="exact"/>
        <w:rPr>
          <w:sz w:val="20"/>
          <w:szCs w:val="20"/>
          <w:color w:val="auto"/>
        </w:rPr>
      </w:pP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3. ASSETS SOLD</w:t>
      </w:r>
    </w:p>
    <w:p>
      <w:pPr>
        <w:spacing w:after="0" w:line="256" w:lineRule="exact"/>
        <w:rPr>
          <w:sz w:val="20"/>
          <w:szCs w:val="20"/>
          <w:color w:val="auto"/>
        </w:rPr>
      </w:pPr>
    </w:p>
    <w:p>
      <w:pPr>
        <w:jc w:val="both"/>
        <w:ind w:left="500" w:right="20"/>
        <w:spacing w:after="0" w:line="257" w:lineRule="auto"/>
        <w:rPr>
          <w:sz w:val="20"/>
          <w:szCs w:val="20"/>
          <w:color w:val="auto"/>
        </w:rPr>
      </w:pPr>
      <w:r>
        <w:rPr>
          <w:rFonts w:ascii="Arial" w:cs="Arial" w:eastAsia="Arial" w:hAnsi="Arial"/>
          <w:sz w:val="18"/>
          <w:szCs w:val="18"/>
          <w:color w:val="auto"/>
        </w:rPr>
        <w:t>On November 13, 2009, we completed a transaction in which we sold substantially all of the assets associated with our licensing product line to Lantiq Broadband Holdco, Inc. and Lantiq Deutschland GmbH (“Lantiq”) for $6.75 million. Lantiq is a newly formed fabless semiconductor company that was spun out of Infineon, our largest DSL licensing customer. The sale included: i) our DSL and home networking technology assets; ii) certain patents and patent applications related to those technology assets; iii) a group of 41 engineers; and iv) lab and computer equipment used by the transferred engineers.</w:t>
      </w:r>
    </w:p>
    <w:p>
      <w:pPr>
        <w:spacing w:after="0" w:line="215" w:lineRule="exact"/>
        <w:rPr>
          <w:sz w:val="20"/>
          <w:szCs w:val="20"/>
          <w:color w:val="auto"/>
        </w:rPr>
      </w:pPr>
    </w:p>
    <w:p>
      <w:pPr>
        <w:jc w:val="both"/>
        <w:ind w:left="500" w:right="20"/>
        <w:spacing w:after="0" w:line="259" w:lineRule="auto"/>
        <w:rPr>
          <w:sz w:val="20"/>
          <w:szCs w:val="20"/>
          <w:color w:val="auto"/>
        </w:rPr>
      </w:pPr>
      <w:r>
        <w:rPr>
          <w:rFonts w:ascii="Arial" w:cs="Arial" w:eastAsia="Arial" w:hAnsi="Arial"/>
          <w:sz w:val="18"/>
          <w:szCs w:val="18"/>
          <w:color w:val="auto"/>
        </w:rPr>
        <w:t>We recorded a gain on the sale of assets of $6.2 million. The gain reflects $6.75 million of proceeds less the following items: i) the net book value of assets transferred to Lantiq; ii) the write-off of certain prepaid assets that had no economic value after the sale; and iii) transaction costs. Included in the assets transferred to Lantiq were property and equipment, principally lab and computer equipment, which had a cost of $1.9 million and a net book value of $124,000.</w:t>
      </w:r>
    </w:p>
    <w:p>
      <w:pPr>
        <w:spacing w:after="0" w:line="210"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Inventories consisted of the following at December 31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4"/>
              </w:rPr>
              <w:t>2009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2008</w:t>
            </w:r>
          </w:p>
        </w:tc>
        <w:tc>
          <w:tcPr>
            <w:tcW w:w="4900" w:type="dxa"/>
            <w:vAlign w:val="bottom"/>
          </w:tcPr>
          <w:p>
            <w:pPr>
              <w:spacing w:after="0"/>
              <w:rPr>
                <w:sz w:val="20"/>
                <w:szCs w:val="20"/>
                <w:color w:val="auto"/>
              </w:rPr>
            </w:pPr>
          </w:p>
        </w:tc>
      </w:tr>
      <w:tr>
        <w:trPr>
          <w:trHeight w:val="202"/>
        </w:trPr>
        <w:tc>
          <w:tcPr>
            <w:tcW w:w="4880" w:type="dxa"/>
            <w:vAlign w:val="bottom"/>
          </w:tcPr>
          <w:p>
            <w:pPr>
              <w:ind w:left="800"/>
              <w:spacing w:after="0" w:line="201" w:lineRule="exact"/>
              <w:rPr>
                <w:sz w:val="20"/>
                <w:szCs w:val="20"/>
                <w:color w:val="auto"/>
              </w:rPr>
            </w:pPr>
            <w:r>
              <w:rPr>
                <w:rFonts w:ascii="Arial" w:cs="Arial" w:eastAsia="Arial" w:hAnsi="Arial"/>
                <w:sz w:val="18"/>
                <w:szCs w:val="18"/>
                <w:color w:val="auto"/>
              </w:rPr>
              <w:t>Raw materials</w:t>
            </w:r>
          </w:p>
        </w:tc>
        <w:tc>
          <w:tcPr>
            <w:tcW w:w="14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1" w:lineRule="exact"/>
              <w:rPr>
                <w:sz w:val="20"/>
                <w:szCs w:val="20"/>
                <w:color w:val="auto"/>
              </w:rPr>
            </w:pPr>
            <w:r>
              <w:rPr>
                <w:rFonts w:ascii="Arial" w:cs="Arial" w:eastAsia="Arial" w:hAnsi="Arial"/>
                <w:sz w:val="18"/>
                <w:szCs w:val="18"/>
                <w:color w:val="auto"/>
              </w:rPr>
              <w:t>1,112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1,650</w:t>
            </w:r>
          </w:p>
        </w:tc>
        <w:tc>
          <w:tcPr>
            <w:tcW w:w="4900" w:type="dxa"/>
            <w:vAlign w:val="bottom"/>
          </w:tcPr>
          <w:p>
            <w:pPr>
              <w:spacing w:after="0"/>
              <w:rPr>
                <w:sz w:val="17"/>
                <w:szCs w:val="17"/>
                <w:color w:val="auto"/>
              </w:rPr>
            </w:pPr>
          </w:p>
        </w:tc>
      </w:tr>
      <w:tr>
        <w:trPr>
          <w:trHeight w:val="237"/>
        </w:trPr>
        <w:tc>
          <w:tcPr>
            <w:tcW w:w="4880" w:type="dxa"/>
            <w:vAlign w:val="bottom"/>
          </w:tcPr>
          <w:p>
            <w:pPr>
              <w:ind w:left="800"/>
              <w:spacing w:after="0"/>
              <w:rPr>
                <w:sz w:val="20"/>
                <w:szCs w:val="20"/>
                <w:color w:val="auto"/>
              </w:rPr>
            </w:pPr>
            <w:r>
              <w:rPr>
                <w:rFonts w:ascii="Arial" w:cs="Arial" w:eastAsia="Arial" w:hAnsi="Arial"/>
                <w:sz w:val="18"/>
                <w:szCs w:val="18"/>
                <w:color w:val="auto"/>
              </w:rPr>
              <w:t>Finished goods</w:t>
            </w:r>
          </w:p>
        </w:tc>
        <w:tc>
          <w:tcPr>
            <w:tcW w:w="14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20" w:type="dxa"/>
            <w:vAlign w:val="bottom"/>
            <w:gridSpan w:val="2"/>
          </w:tcPr>
          <w:p>
            <w:pPr>
              <w:jc w:val="right"/>
              <w:ind w:right="4900"/>
              <w:spacing w:after="0"/>
              <w:rPr>
                <w:sz w:val="20"/>
                <w:szCs w:val="20"/>
                <w:color w:val="auto"/>
              </w:rPr>
            </w:pPr>
            <w:r>
              <w:rPr>
                <w:rFonts w:ascii="Arial" w:cs="Arial" w:eastAsia="Arial" w:hAnsi="Arial"/>
                <w:sz w:val="18"/>
                <w:szCs w:val="18"/>
                <w:color w:val="auto"/>
              </w:rPr>
              <w:t>6</w:t>
            </w:r>
          </w:p>
        </w:tc>
      </w:tr>
      <w:tr>
        <w:trPr>
          <w:trHeight w:val="216"/>
        </w:trPr>
        <w:tc>
          <w:tcPr>
            <w:tcW w:w="4880" w:type="dxa"/>
            <w:vAlign w:val="bottom"/>
          </w:tcPr>
          <w:p>
            <w:pPr>
              <w:ind w:left="9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1,656</w:t>
            </w:r>
          </w:p>
        </w:tc>
        <w:tc>
          <w:tcPr>
            <w:tcW w:w="4900" w:type="dxa"/>
            <w:vAlign w:val="bottom"/>
          </w:tcPr>
          <w:p>
            <w:pPr>
              <w:spacing w:after="0"/>
              <w:rPr>
                <w:sz w:val="18"/>
                <w:szCs w:val="18"/>
                <w:color w:val="auto"/>
              </w:rPr>
            </w:pPr>
          </w:p>
        </w:tc>
      </w:tr>
      <w:tr>
        <w:trPr>
          <w:trHeight w:val="21"/>
        </w:trPr>
        <w:tc>
          <w:tcPr>
            <w:tcW w:w="4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669"/>
        </w:trPr>
        <w:tc>
          <w:tcPr>
            <w:tcW w:w="4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gridSpan w:val="2"/>
          </w:tcPr>
          <w:p>
            <w:pPr>
              <w:jc w:val="right"/>
              <w:ind w:right="45"/>
              <w:spacing w:after="0"/>
              <w:rPr>
                <w:sz w:val="20"/>
                <w:szCs w:val="20"/>
                <w:color w:val="auto"/>
              </w:rPr>
            </w:pPr>
            <w:r>
              <w:rPr>
                <w:rFonts w:ascii="Arial" w:cs="Arial" w:eastAsia="Arial" w:hAnsi="Arial"/>
                <w:sz w:val="17"/>
                <w:szCs w:val="17"/>
                <w:color w:val="auto"/>
                <w:w w:val="73"/>
              </w:rPr>
              <w:t>43</w:t>
            </w:r>
          </w:p>
        </w:tc>
        <w:tc>
          <w:tcPr>
            <w:tcW w:w="62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118"/>
        </w:trPr>
        <w:tc>
          <w:tcPr>
            <w:tcW w:w="48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07" w:right="219" w:bottom="1440" w:gutter="0" w:footer="0" w:header="0"/>
        </w:sectPr>
      </w:pPr>
    </w:p>
    <w:bookmarkStart w:id="43" w:name="page44"/>
    <w:bookmarkEnd w:id="43"/>
    <w:p>
      <w:pPr>
        <w:jc w:val="center"/>
        <w:ind w:right="20"/>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5.</w:t>
            </w: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PROPERTY AND EQUIPMENT</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9"/>
        </w:trPr>
        <w:tc>
          <w:tcPr>
            <w:tcW w:w="300" w:type="dxa"/>
            <w:vAlign w:val="bottom"/>
          </w:tcPr>
          <w:p>
            <w:pPr>
              <w:spacing w:after="0"/>
              <w:rPr>
                <w:sz w:val="24"/>
                <w:szCs w:val="24"/>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Property and equipment consisted of the following at December 31 (in thousands):</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66"/>
        </w:trPr>
        <w:tc>
          <w:tcPr>
            <w:tcW w:w="3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2009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2008</w:t>
            </w:r>
          </w:p>
        </w:tc>
        <w:tc>
          <w:tcPr>
            <w:tcW w:w="60" w:type="dxa"/>
            <w:vAlign w:val="bottom"/>
          </w:tcPr>
          <w:p>
            <w:pPr>
              <w:spacing w:after="0"/>
              <w:rPr>
                <w:sz w:val="24"/>
                <w:szCs w:val="24"/>
                <w:color w:val="auto"/>
              </w:rPr>
            </w:pPr>
          </w:p>
        </w:tc>
      </w:tr>
      <w:tr>
        <w:trPr>
          <w:trHeight w:val="202"/>
        </w:trPr>
        <w:tc>
          <w:tcPr>
            <w:tcW w:w="300" w:type="dxa"/>
            <w:vAlign w:val="bottom"/>
          </w:tcPr>
          <w:p>
            <w:pPr>
              <w:spacing w:after="0"/>
              <w:rPr>
                <w:sz w:val="17"/>
                <w:szCs w:val="17"/>
                <w:color w:val="auto"/>
              </w:rPr>
            </w:pPr>
          </w:p>
        </w:tc>
        <w:tc>
          <w:tcPr>
            <w:tcW w:w="7420" w:type="dxa"/>
            <w:vAlign w:val="bottom"/>
          </w:tcPr>
          <w:p>
            <w:pPr>
              <w:ind w:left="1420"/>
              <w:spacing w:after="0" w:line="201" w:lineRule="exact"/>
              <w:rPr>
                <w:sz w:val="20"/>
                <w:szCs w:val="20"/>
                <w:color w:val="auto"/>
              </w:rPr>
            </w:pPr>
            <w:r>
              <w:rPr>
                <w:rFonts w:ascii="Arial" w:cs="Arial" w:eastAsia="Arial" w:hAnsi="Arial"/>
                <w:sz w:val="18"/>
                <w:szCs w:val="18"/>
                <w:color w:val="auto"/>
              </w:rPr>
              <w:t>Land</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rPr>
              <w:t>1,080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1,080</w:t>
            </w:r>
          </w:p>
        </w:tc>
        <w:tc>
          <w:tcPr>
            <w:tcW w:w="60" w:type="dxa"/>
            <w:vAlign w:val="bottom"/>
          </w:tcPr>
          <w:p>
            <w:pPr>
              <w:spacing w:after="0"/>
              <w:rPr>
                <w:sz w:val="17"/>
                <w:szCs w:val="17"/>
                <w:color w:val="auto"/>
              </w:rPr>
            </w:pPr>
          </w:p>
        </w:tc>
      </w:tr>
      <w:tr>
        <w:trPr>
          <w:trHeight w:val="216"/>
        </w:trPr>
        <w:tc>
          <w:tcPr>
            <w:tcW w:w="300" w:type="dxa"/>
            <w:vAlign w:val="bottom"/>
          </w:tcPr>
          <w:p>
            <w:pPr>
              <w:spacing w:after="0"/>
              <w:rPr>
                <w:sz w:val="18"/>
                <w:szCs w:val="18"/>
                <w:color w:val="auto"/>
              </w:rPr>
            </w:pPr>
          </w:p>
        </w:tc>
        <w:tc>
          <w:tcPr>
            <w:tcW w:w="7420" w:type="dxa"/>
            <w:vAlign w:val="bottom"/>
          </w:tcPr>
          <w:p>
            <w:pPr>
              <w:ind w:left="1420"/>
              <w:spacing w:after="0"/>
              <w:rPr>
                <w:sz w:val="20"/>
                <w:szCs w:val="20"/>
                <w:color w:val="auto"/>
              </w:rPr>
            </w:pPr>
            <w:r>
              <w:rPr>
                <w:rFonts w:ascii="Arial" w:cs="Arial" w:eastAsia="Arial" w:hAnsi="Arial"/>
                <w:sz w:val="18"/>
                <w:szCs w:val="18"/>
                <w:color w:val="auto"/>
              </w:rPr>
              <w:t>Building and improvements</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8,869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8,869</w:t>
            </w:r>
          </w:p>
        </w:tc>
      </w:tr>
      <w:tr>
        <w:trPr>
          <w:trHeight w:val="216"/>
        </w:trPr>
        <w:tc>
          <w:tcPr>
            <w:tcW w:w="300" w:type="dxa"/>
            <w:vAlign w:val="bottom"/>
          </w:tcPr>
          <w:p>
            <w:pPr>
              <w:spacing w:after="0"/>
              <w:rPr>
                <w:sz w:val="18"/>
                <w:szCs w:val="18"/>
                <w:color w:val="auto"/>
              </w:rPr>
            </w:pPr>
          </w:p>
        </w:tc>
        <w:tc>
          <w:tcPr>
            <w:tcW w:w="7420" w:type="dxa"/>
            <w:vAlign w:val="bottom"/>
          </w:tcPr>
          <w:p>
            <w:pPr>
              <w:ind w:left="1420"/>
              <w:spacing w:after="0"/>
              <w:rPr>
                <w:sz w:val="20"/>
                <w:szCs w:val="20"/>
                <w:color w:val="auto"/>
              </w:rPr>
            </w:pPr>
            <w:r>
              <w:rPr>
                <w:rFonts w:ascii="Arial" w:cs="Arial" w:eastAsia="Arial" w:hAnsi="Arial"/>
                <w:sz w:val="18"/>
                <w:szCs w:val="18"/>
                <w:color w:val="auto"/>
              </w:rPr>
              <w:t>Computer equipment</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2,065</w:t>
            </w:r>
          </w:p>
        </w:tc>
      </w:tr>
      <w:tr>
        <w:trPr>
          <w:trHeight w:val="216"/>
        </w:trPr>
        <w:tc>
          <w:tcPr>
            <w:tcW w:w="300" w:type="dxa"/>
            <w:vAlign w:val="bottom"/>
          </w:tcPr>
          <w:p>
            <w:pPr>
              <w:spacing w:after="0"/>
              <w:rPr>
                <w:sz w:val="18"/>
                <w:szCs w:val="18"/>
                <w:color w:val="auto"/>
              </w:rPr>
            </w:pPr>
          </w:p>
        </w:tc>
        <w:tc>
          <w:tcPr>
            <w:tcW w:w="7420" w:type="dxa"/>
            <w:vAlign w:val="bottom"/>
          </w:tcPr>
          <w:p>
            <w:pPr>
              <w:ind w:left="1420"/>
              <w:spacing w:after="0"/>
              <w:rPr>
                <w:sz w:val="20"/>
                <w:szCs w:val="20"/>
                <w:color w:val="auto"/>
              </w:rPr>
            </w:pPr>
            <w:r>
              <w:rPr>
                <w:rFonts w:ascii="Arial" w:cs="Arial" w:eastAsia="Arial" w:hAnsi="Arial"/>
                <w:sz w:val="18"/>
                <w:szCs w:val="18"/>
                <w:color w:val="auto"/>
              </w:rPr>
              <w:t>Purchased software</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1,241</w:t>
            </w:r>
          </w:p>
        </w:tc>
      </w:tr>
      <w:tr>
        <w:trPr>
          <w:trHeight w:val="216"/>
        </w:trPr>
        <w:tc>
          <w:tcPr>
            <w:tcW w:w="300" w:type="dxa"/>
            <w:vAlign w:val="bottom"/>
          </w:tcPr>
          <w:p>
            <w:pPr>
              <w:spacing w:after="0"/>
              <w:rPr>
                <w:sz w:val="18"/>
                <w:szCs w:val="18"/>
                <w:color w:val="auto"/>
              </w:rPr>
            </w:pPr>
          </w:p>
        </w:tc>
        <w:tc>
          <w:tcPr>
            <w:tcW w:w="7420" w:type="dxa"/>
            <w:vAlign w:val="bottom"/>
          </w:tcPr>
          <w:p>
            <w:pPr>
              <w:ind w:left="1420"/>
              <w:spacing w:after="0"/>
              <w:rPr>
                <w:sz w:val="20"/>
                <w:szCs w:val="20"/>
                <w:color w:val="auto"/>
              </w:rPr>
            </w:pPr>
            <w:r>
              <w:rPr>
                <w:rFonts w:ascii="Arial" w:cs="Arial" w:eastAsia="Arial" w:hAnsi="Arial"/>
                <w:sz w:val="18"/>
                <w:szCs w:val="18"/>
                <w:color w:val="auto"/>
              </w:rPr>
              <w:t>Furniture and fixtures</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817</w:t>
            </w:r>
          </w:p>
        </w:tc>
      </w:tr>
      <w:tr>
        <w:trPr>
          <w:trHeight w:val="216"/>
        </w:trPr>
        <w:tc>
          <w:tcPr>
            <w:tcW w:w="300" w:type="dxa"/>
            <w:vAlign w:val="bottom"/>
          </w:tcPr>
          <w:p>
            <w:pPr>
              <w:spacing w:after="0"/>
              <w:rPr>
                <w:sz w:val="18"/>
                <w:szCs w:val="18"/>
                <w:color w:val="auto"/>
              </w:rPr>
            </w:pPr>
          </w:p>
        </w:tc>
        <w:tc>
          <w:tcPr>
            <w:tcW w:w="7420" w:type="dxa"/>
            <w:vAlign w:val="bottom"/>
          </w:tcPr>
          <w:p>
            <w:pPr>
              <w:ind w:left="1420"/>
              <w:spacing w:after="0"/>
              <w:rPr>
                <w:sz w:val="20"/>
                <w:szCs w:val="20"/>
                <w:color w:val="auto"/>
              </w:rPr>
            </w:pPr>
            <w:r>
              <w:rPr>
                <w:rFonts w:ascii="Arial" w:cs="Arial" w:eastAsia="Arial" w:hAnsi="Arial"/>
                <w:sz w:val="18"/>
                <w:szCs w:val="18"/>
                <w:color w:val="auto"/>
              </w:rPr>
              <w:t>Office equipment</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203</w:t>
            </w:r>
          </w:p>
        </w:tc>
      </w:tr>
      <w:tr>
        <w:trPr>
          <w:trHeight w:val="237"/>
        </w:trPr>
        <w:tc>
          <w:tcPr>
            <w:tcW w:w="300" w:type="dxa"/>
            <w:vAlign w:val="bottom"/>
          </w:tcPr>
          <w:p>
            <w:pPr>
              <w:spacing w:after="0"/>
              <w:rPr>
                <w:sz w:val="20"/>
                <w:szCs w:val="20"/>
                <w:color w:val="auto"/>
              </w:rPr>
            </w:pPr>
          </w:p>
        </w:tc>
        <w:tc>
          <w:tcPr>
            <w:tcW w:w="7420" w:type="dxa"/>
            <w:vAlign w:val="bottom"/>
          </w:tcPr>
          <w:p>
            <w:pPr>
              <w:ind w:left="1420"/>
              <w:spacing w:after="0"/>
              <w:rPr>
                <w:sz w:val="20"/>
                <w:szCs w:val="20"/>
                <w:color w:val="auto"/>
              </w:rPr>
            </w:pPr>
            <w:r>
              <w:rPr>
                <w:rFonts w:ascii="Arial" w:cs="Arial" w:eastAsia="Arial" w:hAnsi="Arial"/>
                <w:sz w:val="18"/>
                <w:szCs w:val="18"/>
                <w:color w:val="auto"/>
              </w:rPr>
              <w:t>Manufacturing equipment</w:t>
            </w:r>
          </w:p>
        </w:tc>
        <w:tc>
          <w:tcPr>
            <w:tcW w:w="16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r>
      <w:tr>
        <w:trPr>
          <w:trHeight w:val="202"/>
        </w:trPr>
        <w:tc>
          <w:tcPr>
            <w:tcW w:w="300" w:type="dxa"/>
            <w:vAlign w:val="bottom"/>
          </w:tcPr>
          <w:p>
            <w:pPr>
              <w:spacing w:after="0"/>
              <w:rPr>
                <w:sz w:val="17"/>
                <w:szCs w:val="17"/>
                <w:color w:val="auto"/>
              </w:rPr>
            </w:pPr>
          </w:p>
        </w:tc>
        <w:tc>
          <w:tcPr>
            <w:tcW w:w="7420" w:type="dxa"/>
            <w:vAlign w:val="bottom"/>
          </w:tcPr>
          <w:p>
            <w:pPr>
              <w:ind w:left="1580"/>
              <w:spacing w:after="0" w:line="201" w:lineRule="exact"/>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12,583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14,351</w:t>
            </w:r>
          </w:p>
        </w:tc>
        <w:tc>
          <w:tcPr>
            <w:tcW w:w="60" w:type="dxa"/>
            <w:vAlign w:val="bottom"/>
          </w:tcPr>
          <w:p>
            <w:pPr>
              <w:spacing w:after="0"/>
              <w:rPr>
                <w:sz w:val="17"/>
                <w:szCs w:val="17"/>
                <w:color w:val="auto"/>
              </w:rPr>
            </w:pPr>
          </w:p>
        </w:tc>
      </w:tr>
      <w:tr>
        <w:trPr>
          <w:trHeight w:val="237"/>
        </w:trPr>
        <w:tc>
          <w:tcPr>
            <w:tcW w:w="300" w:type="dxa"/>
            <w:vAlign w:val="bottom"/>
          </w:tcPr>
          <w:p>
            <w:pPr>
              <w:spacing w:after="0"/>
              <w:rPr>
                <w:sz w:val="20"/>
                <w:szCs w:val="20"/>
                <w:color w:val="auto"/>
              </w:rPr>
            </w:pPr>
          </w:p>
        </w:tc>
        <w:tc>
          <w:tcPr>
            <w:tcW w:w="7420" w:type="dxa"/>
            <w:vAlign w:val="bottom"/>
          </w:tcPr>
          <w:p>
            <w:pPr>
              <w:ind w:left="142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20"/>
                <w:szCs w:val="20"/>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(5,839)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(6,888)</w:t>
            </w:r>
          </w:p>
        </w:tc>
      </w:tr>
      <w:tr>
        <w:trPr>
          <w:trHeight w:val="216"/>
        </w:trPr>
        <w:tc>
          <w:tcPr>
            <w:tcW w:w="300" w:type="dxa"/>
            <w:vAlign w:val="bottom"/>
          </w:tcPr>
          <w:p>
            <w:pPr>
              <w:spacing w:after="0"/>
              <w:rPr>
                <w:sz w:val="18"/>
                <w:szCs w:val="18"/>
                <w:color w:val="auto"/>
              </w:rPr>
            </w:pPr>
          </w:p>
        </w:tc>
        <w:tc>
          <w:tcPr>
            <w:tcW w:w="7420" w:type="dxa"/>
            <w:vAlign w:val="bottom"/>
          </w:tcPr>
          <w:p>
            <w:pPr>
              <w:ind w:left="158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6,744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7,463</w:t>
            </w:r>
          </w:p>
        </w:tc>
        <w:tc>
          <w:tcPr>
            <w:tcW w:w="60" w:type="dxa"/>
            <w:vAlign w:val="bottom"/>
          </w:tcPr>
          <w:p>
            <w:pPr>
              <w:spacing w:after="0"/>
              <w:rPr>
                <w:sz w:val="18"/>
                <w:szCs w:val="18"/>
                <w:color w:val="auto"/>
              </w:rPr>
            </w:pPr>
          </w:p>
        </w:tc>
      </w:tr>
      <w:tr>
        <w:trPr>
          <w:trHeight w:val="21"/>
        </w:trPr>
        <w:tc>
          <w:tcPr>
            <w:tcW w:w="30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500" w:right="340"/>
        <w:spacing w:after="0" w:line="259" w:lineRule="auto"/>
        <w:rPr>
          <w:sz w:val="20"/>
          <w:szCs w:val="20"/>
          <w:color w:val="auto"/>
        </w:rPr>
      </w:pPr>
      <w:r>
        <w:rPr>
          <w:rFonts w:ascii="Arial" w:cs="Arial" w:eastAsia="Arial" w:hAnsi="Arial"/>
          <w:sz w:val="18"/>
          <w:szCs w:val="18"/>
          <w:color w:val="auto"/>
        </w:rPr>
        <w:t>Depreciation expense amounted to $0.8 million, $0.9 million, and $0.8 million in each of the years ended December 31, 2009, 2008, and 2007, respectively. In 2009 and 2008, we identified $58,000 and $7.9 million, respectively, of fully depreciated assets no longer in use, and retired the assets and related accumulated depreciation. In 2009, we also sold assets with a cost of $1.9 million and a net book value of $124,000 in connection with the Lantiq asset sale.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6.</w:t>
            </w:r>
          </w:p>
        </w:tc>
        <w:tc>
          <w:tcPr>
            <w:tcW w:w="6420" w:type="dxa"/>
            <w:vAlign w:val="bottom"/>
          </w:tcPr>
          <w:p>
            <w:pPr>
              <w:ind w:left="160"/>
              <w:spacing w:after="0"/>
              <w:rPr>
                <w:sz w:val="20"/>
                <w:szCs w:val="20"/>
                <w:color w:val="auto"/>
              </w:rPr>
            </w:pPr>
            <w:r>
              <w:rPr>
                <w:rFonts w:ascii="Arial" w:cs="Arial" w:eastAsia="Arial" w:hAnsi="Arial"/>
                <w:sz w:val="18"/>
                <w:szCs w:val="18"/>
                <w:b w:val="1"/>
                <w:bCs w:val="1"/>
                <w:color w:val="auto"/>
              </w:rPr>
              <w:t>INCOME TAXES</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00" w:type="dxa"/>
            <w:vAlign w:val="bottom"/>
          </w:tcPr>
          <w:p>
            <w:pPr>
              <w:spacing w:after="0"/>
              <w:rPr>
                <w:sz w:val="24"/>
                <w:szCs w:val="24"/>
                <w:color w:val="auto"/>
              </w:rPr>
            </w:pPr>
          </w:p>
        </w:tc>
        <w:tc>
          <w:tcPr>
            <w:tcW w:w="6420" w:type="dxa"/>
            <w:vAlign w:val="bottom"/>
          </w:tcPr>
          <w:p>
            <w:pPr>
              <w:ind w:left="200"/>
              <w:spacing w:after="0"/>
              <w:rPr>
                <w:sz w:val="20"/>
                <w:szCs w:val="20"/>
                <w:color w:val="auto"/>
              </w:rPr>
            </w:pPr>
            <w:r>
              <w:rPr>
                <w:rFonts w:ascii="Arial" w:cs="Arial" w:eastAsia="Arial" w:hAnsi="Arial"/>
                <w:sz w:val="18"/>
                <w:szCs w:val="18"/>
                <w:color w:val="auto"/>
                <w:w w:val="93"/>
              </w:rPr>
              <w:t>Deferred tax assets are attributable to the following at December 31 (in thousands):</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0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color w:val="auto"/>
              </w:rPr>
              <w:t>2009</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2008</w:t>
            </w:r>
          </w:p>
        </w:tc>
        <w:tc>
          <w:tcPr>
            <w:tcW w:w="12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6420" w:type="dxa"/>
            <w:vAlign w:val="bottom"/>
          </w:tcPr>
          <w:p>
            <w:pPr>
              <w:ind w:left="160"/>
              <w:spacing w:after="0" w:line="201" w:lineRule="exact"/>
              <w:rPr>
                <w:sz w:val="20"/>
                <w:szCs w:val="20"/>
                <w:color w:val="auto"/>
              </w:rPr>
            </w:pPr>
            <w:r>
              <w:rPr>
                <w:rFonts w:ascii="Arial" w:cs="Arial" w:eastAsia="Arial" w:hAnsi="Arial"/>
                <w:sz w:val="18"/>
                <w:szCs w:val="18"/>
                <w:color w:val="auto"/>
              </w:rPr>
              <w:t>Federal net operating loss carryforwards</w:t>
            </w:r>
          </w:p>
        </w:tc>
        <w:tc>
          <w:tcPr>
            <w:tcW w:w="44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680" w:type="dxa"/>
            <w:vAlign w:val="bottom"/>
            <w:gridSpan w:val="4"/>
          </w:tcPr>
          <w:p>
            <w:pPr>
              <w:jc w:val="right"/>
              <w:spacing w:after="0" w:line="201" w:lineRule="exact"/>
              <w:rPr>
                <w:sz w:val="20"/>
                <w:szCs w:val="20"/>
                <w:color w:val="auto"/>
              </w:rPr>
            </w:pPr>
            <w:r>
              <w:rPr>
                <w:rFonts w:ascii="Arial" w:cs="Arial" w:eastAsia="Arial" w:hAnsi="Arial"/>
                <w:sz w:val="18"/>
                <w:szCs w:val="18"/>
                <w:color w:val="auto"/>
              </w:rPr>
              <w:t>15,872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4"/>
          </w:tcPr>
          <w:p>
            <w:pPr>
              <w:jc w:val="right"/>
              <w:spacing w:after="0" w:line="201" w:lineRule="exact"/>
              <w:rPr>
                <w:sz w:val="20"/>
                <w:szCs w:val="20"/>
                <w:color w:val="auto"/>
              </w:rPr>
            </w:pPr>
            <w:r>
              <w:rPr>
                <w:rFonts w:ascii="Arial" w:cs="Arial" w:eastAsia="Arial" w:hAnsi="Arial"/>
                <w:sz w:val="18"/>
                <w:szCs w:val="18"/>
                <w:color w:val="auto"/>
              </w:rPr>
              <w:t>15,679</w:t>
            </w:r>
          </w:p>
        </w:tc>
        <w:tc>
          <w:tcPr>
            <w:tcW w:w="5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Research and development and other tax credit carryforwards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5"/>
          </w:tcPr>
          <w:p>
            <w:pPr>
              <w:jc w:val="right"/>
              <w:ind w:right="20"/>
              <w:spacing w:after="0"/>
              <w:rPr>
                <w:sz w:val="20"/>
                <w:szCs w:val="20"/>
                <w:color w:val="auto"/>
              </w:rPr>
            </w:pPr>
            <w:r>
              <w:rPr>
                <w:rFonts w:ascii="Arial" w:cs="Arial" w:eastAsia="Arial" w:hAnsi="Arial"/>
                <w:sz w:val="18"/>
                <w:szCs w:val="18"/>
                <w:color w:val="auto"/>
              </w:rPr>
              <w:t>18,116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5"/>
          </w:tcPr>
          <w:p>
            <w:pPr>
              <w:jc w:val="right"/>
              <w:ind w:right="520"/>
              <w:spacing w:after="0"/>
              <w:rPr>
                <w:sz w:val="20"/>
                <w:szCs w:val="20"/>
                <w:color w:val="auto"/>
              </w:rPr>
            </w:pPr>
            <w:r>
              <w:rPr>
                <w:rFonts w:ascii="Arial" w:cs="Arial" w:eastAsia="Arial" w:hAnsi="Arial"/>
                <w:sz w:val="18"/>
                <w:szCs w:val="18"/>
                <w:color w:val="auto"/>
              </w:rPr>
              <w:t>17,208</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State net operating loss carryforwards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5"/>
          </w:tcPr>
          <w:p>
            <w:pPr>
              <w:jc w:val="right"/>
              <w:ind w:right="20"/>
              <w:spacing w:after="0"/>
              <w:rPr>
                <w:sz w:val="20"/>
                <w:szCs w:val="20"/>
                <w:color w:val="auto"/>
              </w:rPr>
            </w:pPr>
            <w:r>
              <w:rPr>
                <w:rFonts w:ascii="Arial" w:cs="Arial" w:eastAsia="Arial" w:hAnsi="Arial"/>
                <w:sz w:val="18"/>
                <w:szCs w:val="18"/>
                <w:color w:val="auto"/>
              </w:rPr>
              <w:t>599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5"/>
          </w:tcPr>
          <w:p>
            <w:pPr>
              <w:jc w:val="right"/>
              <w:ind w:right="520"/>
              <w:spacing w:after="0"/>
              <w:rPr>
                <w:sz w:val="20"/>
                <w:szCs w:val="20"/>
                <w:color w:val="auto"/>
              </w:rPr>
            </w:pPr>
            <w:r>
              <w:rPr>
                <w:rFonts w:ascii="Arial" w:cs="Arial" w:eastAsia="Arial" w:hAnsi="Arial"/>
                <w:sz w:val="18"/>
                <w:szCs w:val="18"/>
                <w:color w:val="auto"/>
              </w:rPr>
              <w:t>660</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Capitalized research and development costs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5"/>
          </w:tcPr>
          <w:p>
            <w:pPr>
              <w:jc w:val="right"/>
              <w:ind w:right="20"/>
              <w:spacing w:after="0"/>
              <w:rPr>
                <w:sz w:val="20"/>
                <w:szCs w:val="20"/>
                <w:color w:val="auto"/>
              </w:rPr>
            </w:pPr>
            <w:r>
              <w:rPr>
                <w:rFonts w:ascii="Arial" w:cs="Arial" w:eastAsia="Arial" w:hAnsi="Arial"/>
                <w:sz w:val="18"/>
                <w:szCs w:val="18"/>
                <w:color w:val="auto"/>
              </w:rPr>
              <w:t>4,719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5"/>
          </w:tcPr>
          <w:p>
            <w:pPr>
              <w:jc w:val="right"/>
              <w:ind w:right="520"/>
              <w:spacing w:after="0"/>
              <w:rPr>
                <w:sz w:val="20"/>
                <w:szCs w:val="20"/>
                <w:color w:val="auto"/>
              </w:rPr>
            </w:pPr>
            <w:r>
              <w:rPr>
                <w:rFonts w:ascii="Arial" w:cs="Arial" w:eastAsia="Arial" w:hAnsi="Arial"/>
                <w:sz w:val="18"/>
                <w:szCs w:val="18"/>
                <w:color w:val="auto"/>
              </w:rPr>
              <w:t>6,245</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5"/>
          </w:tcPr>
          <w:p>
            <w:pPr>
              <w:jc w:val="right"/>
              <w:ind w:right="20"/>
              <w:spacing w:after="0"/>
              <w:rPr>
                <w:sz w:val="20"/>
                <w:szCs w:val="20"/>
                <w:color w:val="auto"/>
              </w:rPr>
            </w:pPr>
            <w:r>
              <w:rPr>
                <w:rFonts w:ascii="Arial" w:cs="Arial" w:eastAsia="Arial" w:hAnsi="Arial"/>
                <w:sz w:val="18"/>
                <w:szCs w:val="18"/>
                <w:color w:val="auto"/>
              </w:rPr>
              <w:t>3,464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5"/>
          </w:tcPr>
          <w:p>
            <w:pPr>
              <w:jc w:val="right"/>
              <w:ind w:right="520"/>
              <w:spacing w:after="0"/>
              <w:rPr>
                <w:sz w:val="20"/>
                <w:szCs w:val="20"/>
                <w:color w:val="auto"/>
              </w:rPr>
            </w:pPr>
            <w:r>
              <w:rPr>
                <w:rFonts w:ascii="Arial" w:cs="Arial" w:eastAsia="Arial" w:hAnsi="Arial"/>
                <w:sz w:val="18"/>
                <w:szCs w:val="18"/>
                <w:color w:val="auto"/>
              </w:rPr>
              <w:t>2,689</w:t>
            </w: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6420" w:type="dxa"/>
            <w:vAlign w:val="bottom"/>
          </w:tcPr>
          <w:p>
            <w:pPr>
              <w:ind w:left="320"/>
              <w:spacing w:after="0" w:line="201" w:lineRule="exact"/>
              <w:rPr>
                <w:sz w:val="20"/>
                <w:szCs w:val="20"/>
                <w:color w:val="auto"/>
              </w:rPr>
            </w:pPr>
            <w:r>
              <w:rPr>
                <w:rFonts w:ascii="Arial" w:cs="Arial" w:eastAsia="Arial" w:hAnsi="Arial"/>
                <w:sz w:val="18"/>
                <w:szCs w:val="18"/>
                <w:color w:val="auto"/>
              </w:rPr>
              <w:t>Total</w:t>
            </w:r>
          </w:p>
        </w:tc>
        <w:tc>
          <w:tcPr>
            <w:tcW w:w="4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gridSpan w:val="5"/>
          </w:tcPr>
          <w:p>
            <w:pPr>
              <w:jc w:val="right"/>
              <w:ind w:right="20"/>
              <w:spacing w:after="0" w:line="201" w:lineRule="exact"/>
              <w:rPr>
                <w:sz w:val="20"/>
                <w:szCs w:val="20"/>
                <w:color w:val="auto"/>
              </w:rPr>
            </w:pPr>
            <w:r>
              <w:rPr>
                <w:rFonts w:ascii="Arial" w:cs="Arial" w:eastAsia="Arial" w:hAnsi="Arial"/>
                <w:sz w:val="18"/>
                <w:szCs w:val="18"/>
                <w:color w:val="auto"/>
              </w:rPr>
              <w:t>42,770</w:t>
            </w: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gridSpan w:val="4"/>
          </w:tcPr>
          <w:p>
            <w:pPr>
              <w:jc w:val="right"/>
              <w:spacing w:after="0" w:line="201" w:lineRule="exact"/>
              <w:rPr>
                <w:sz w:val="20"/>
                <w:szCs w:val="20"/>
                <w:color w:val="auto"/>
              </w:rPr>
            </w:pPr>
            <w:r>
              <w:rPr>
                <w:rFonts w:ascii="Arial" w:cs="Arial" w:eastAsia="Arial" w:hAnsi="Arial"/>
                <w:sz w:val="18"/>
                <w:szCs w:val="18"/>
                <w:color w:val="auto"/>
              </w:rPr>
              <w:t>42,481</w:t>
            </w:r>
          </w:p>
        </w:tc>
        <w:tc>
          <w:tcPr>
            <w:tcW w:w="5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Less valuation allowance</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6"/>
          </w:tcPr>
          <w:p>
            <w:pPr>
              <w:jc w:val="right"/>
              <w:ind w:right="140"/>
              <w:spacing w:after="0"/>
              <w:rPr>
                <w:sz w:val="20"/>
                <w:szCs w:val="20"/>
                <w:color w:val="auto"/>
              </w:rPr>
            </w:pPr>
            <w:r>
              <w:rPr>
                <w:rFonts w:ascii="Arial" w:cs="Arial" w:eastAsia="Arial" w:hAnsi="Arial"/>
                <w:sz w:val="18"/>
                <w:szCs w:val="18"/>
                <w:color w:val="auto"/>
              </w:rPr>
              <w:t>(42,770)</w:t>
            </w:r>
          </w:p>
        </w:tc>
        <w:tc>
          <w:tcPr>
            <w:tcW w:w="100" w:type="dxa"/>
            <w:vAlign w:val="bottom"/>
          </w:tcPr>
          <w:p>
            <w:pPr>
              <w:spacing w:after="0"/>
              <w:rPr>
                <w:sz w:val="20"/>
                <w:szCs w:val="20"/>
                <w:color w:val="auto"/>
              </w:rPr>
            </w:pPr>
          </w:p>
        </w:tc>
        <w:tc>
          <w:tcPr>
            <w:tcW w:w="1260" w:type="dxa"/>
            <w:vAlign w:val="bottom"/>
            <w:gridSpan w:val="5"/>
          </w:tcPr>
          <w:p>
            <w:pPr>
              <w:jc w:val="right"/>
              <w:ind w:right="460"/>
              <w:spacing w:after="0"/>
              <w:rPr>
                <w:sz w:val="20"/>
                <w:szCs w:val="20"/>
                <w:color w:val="auto"/>
              </w:rPr>
            </w:pPr>
            <w:r>
              <w:rPr>
                <w:rFonts w:ascii="Arial" w:cs="Arial" w:eastAsia="Arial" w:hAnsi="Arial"/>
                <w:sz w:val="18"/>
                <w:szCs w:val="18"/>
                <w:color w:val="auto"/>
              </w:rPr>
              <w:t>(42,481)</w:t>
            </w: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20" w:type="dxa"/>
            <w:vAlign w:val="bottom"/>
          </w:tcPr>
          <w:p>
            <w:pPr>
              <w:ind w:left="320"/>
              <w:spacing w:after="0"/>
              <w:rPr>
                <w:sz w:val="20"/>
                <w:szCs w:val="20"/>
                <w:color w:val="auto"/>
              </w:rPr>
            </w:pPr>
            <w:r>
              <w:rPr>
                <w:rFonts w:ascii="Arial" w:cs="Arial" w:eastAsia="Arial" w:hAnsi="Arial"/>
                <w:sz w:val="18"/>
                <w:szCs w:val="18"/>
                <w:color w:val="auto"/>
              </w:rPr>
              <w:t>Deferred tax assets, net</w:t>
            </w:r>
          </w:p>
        </w:tc>
        <w:tc>
          <w:tcPr>
            <w:tcW w:w="4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00" w:type="dxa"/>
            <w:vAlign w:val="bottom"/>
          </w:tcPr>
          <w:p>
            <w:pPr>
              <w:spacing w:after="0" w:line="20" w:lineRule="exact"/>
              <w:rPr>
                <w:sz w:val="1"/>
                <w:szCs w:val="1"/>
                <w:color w:val="auto"/>
              </w:rPr>
            </w:pPr>
          </w:p>
        </w:tc>
        <w:tc>
          <w:tcPr>
            <w:tcW w:w="6420" w:type="dxa"/>
            <w:vAlign w:val="bottom"/>
            <w:vMerge w:val="restart"/>
          </w:tcPr>
          <w:p>
            <w:pPr>
              <w:ind w:left="160"/>
              <w:spacing w:after="0"/>
              <w:rPr>
                <w:sz w:val="20"/>
                <w:szCs w:val="20"/>
                <w:color w:val="auto"/>
              </w:rPr>
            </w:pPr>
            <w:r>
              <w:rPr>
                <w:rFonts w:ascii="Arial" w:cs="Arial" w:eastAsia="Arial" w:hAnsi="Arial"/>
                <w:sz w:val="18"/>
                <w:szCs w:val="18"/>
                <w:color w:val="auto"/>
                <w:w w:val="92"/>
              </w:rPr>
              <w:t>A reconciliation of the U.S. federal statutory rate to the effective tax rate is as follows:</w:t>
            </w: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00" w:type="dxa"/>
            <w:vAlign w:val="bottom"/>
          </w:tcPr>
          <w:p>
            <w:pPr>
              <w:spacing w:after="0"/>
              <w:rPr>
                <w:sz w:val="24"/>
                <w:szCs w:val="24"/>
                <w:color w:val="auto"/>
              </w:rPr>
            </w:pPr>
          </w:p>
        </w:tc>
        <w:tc>
          <w:tcPr>
            <w:tcW w:w="64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0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2180" w:type="dxa"/>
            <w:vAlign w:val="bottom"/>
            <w:tcBorders>
              <w:bottom w:val="single" w:sz="8" w:color="auto"/>
            </w:tcBorders>
            <w:gridSpan w:val="12"/>
          </w:tcPr>
          <w:p>
            <w:pPr>
              <w:jc w:val="right"/>
              <w:ind w:right="80"/>
              <w:spacing w:after="0"/>
              <w:rPr>
                <w:sz w:val="20"/>
                <w:szCs w:val="20"/>
                <w:color w:val="auto"/>
              </w:rPr>
            </w:pPr>
            <w:r>
              <w:rPr>
                <w:rFonts w:ascii="Arial" w:cs="Arial" w:eastAsia="Arial" w:hAnsi="Arial"/>
                <w:sz w:val="18"/>
                <w:szCs w:val="18"/>
                <w:color w:val="auto"/>
                <w:w w:val="98"/>
              </w:rPr>
              <w:t>Year ended December 31,</w:t>
            </w: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2009</w:t>
            </w:r>
          </w:p>
        </w:tc>
        <w:tc>
          <w:tcPr>
            <w:tcW w:w="180" w:type="dxa"/>
            <w:vAlign w:val="bottom"/>
            <w:tcBorders>
              <w:bottom w:val="single" w:sz="8" w:color="auto"/>
            </w:tcBorders>
          </w:tcPr>
          <w:p>
            <w:pPr>
              <w:spacing w:after="0"/>
              <w:rPr>
                <w:sz w:val="19"/>
                <w:szCs w:val="19"/>
                <w:color w:val="auto"/>
              </w:rPr>
            </w:pPr>
          </w:p>
        </w:tc>
        <w:tc>
          <w:tcPr>
            <w:tcW w:w="260" w:type="dxa"/>
            <w:vAlign w:val="bottom"/>
            <w:gridSpan w:val="2"/>
          </w:tcPr>
          <w:p>
            <w:pPr>
              <w:spacing w:after="0"/>
              <w:rPr>
                <w:sz w:val="19"/>
                <w:szCs w:val="19"/>
                <w:color w:val="auto"/>
              </w:rPr>
            </w:pPr>
          </w:p>
        </w:tc>
        <w:tc>
          <w:tcPr>
            <w:tcW w:w="78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8"/>
                <w:szCs w:val="18"/>
                <w:color w:val="auto"/>
              </w:rPr>
              <w:t>2008</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2007</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6420" w:type="dxa"/>
            <w:vAlign w:val="bottom"/>
          </w:tcPr>
          <w:p>
            <w:pPr>
              <w:ind w:left="160"/>
              <w:spacing w:after="0" w:line="201" w:lineRule="exact"/>
              <w:rPr>
                <w:sz w:val="20"/>
                <w:szCs w:val="20"/>
                <w:color w:val="auto"/>
              </w:rPr>
            </w:pPr>
            <w:r>
              <w:rPr>
                <w:rFonts w:ascii="Arial" w:cs="Arial" w:eastAsia="Arial" w:hAnsi="Arial"/>
                <w:sz w:val="18"/>
                <w:szCs w:val="18"/>
                <w:color w:val="auto"/>
              </w:rPr>
              <w:t>Federal statutory rate</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gridSpan w:val="3"/>
          </w:tcPr>
          <w:p>
            <w:pPr>
              <w:jc w:val="right"/>
              <w:ind w:right="100"/>
              <w:spacing w:after="0" w:line="201" w:lineRule="exact"/>
              <w:rPr>
                <w:sz w:val="20"/>
                <w:szCs w:val="20"/>
                <w:color w:val="auto"/>
              </w:rPr>
            </w:pPr>
            <w:r>
              <w:rPr>
                <w:rFonts w:ascii="Arial" w:cs="Arial" w:eastAsia="Arial" w:hAnsi="Arial"/>
                <w:sz w:val="18"/>
                <w:szCs w:val="18"/>
                <w:color w:val="auto"/>
                <w:w w:val="88"/>
              </w:rPr>
              <w:t>34%</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w w:val="99"/>
              </w:rPr>
              <w:t>34%</w:t>
            </w:r>
          </w:p>
        </w:tc>
        <w:tc>
          <w:tcPr>
            <w:tcW w:w="120" w:type="dxa"/>
            <w:vAlign w:val="bottom"/>
          </w:tcPr>
          <w:p>
            <w:pPr>
              <w:spacing w:after="0"/>
              <w:rPr>
                <w:sz w:val="17"/>
                <w:szCs w:val="17"/>
                <w:color w:val="auto"/>
              </w:rPr>
            </w:pPr>
          </w:p>
        </w:tc>
        <w:tc>
          <w:tcPr>
            <w:tcW w:w="2540" w:type="dxa"/>
            <w:vAlign w:val="bottom"/>
            <w:gridSpan w:val="3"/>
          </w:tcPr>
          <w:p>
            <w:pPr>
              <w:jc w:val="right"/>
              <w:ind w:right="1740"/>
              <w:spacing w:after="0" w:line="201"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State rate, net of federal benefit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2540" w:type="dxa"/>
            <w:vAlign w:val="bottom"/>
            <w:gridSpan w:val="3"/>
          </w:tcPr>
          <w:p>
            <w:pPr>
              <w:jc w:val="right"/>
              <w:ind w:right="18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Tax credits</w:t>
            </w:r>
          </w:p>
        </w:tc>
        <w:tc>
          <w:tcPr>
            <w:tcW w:w="1020" w:type="dxa"/>
            <w:vAlign w:val="bottom"/>
            <w:gridSpan w:val="5"/>
          </w:tcPr>
          <w:p>
            <w:pPr>
              <w:jc w:val="right"/>
              <w:ind w:right="200"/>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(52)</w:t>
            </w:r>
          </w:p>
        </w:tc>
        <w:tc>
          <w:tcPr>
            <w:tcW w:w="120" w:type="dxa"/>
            <w:vAlign w:val="bottom"/>
          </w:tcPr>
          <w:p>
            <w:pPr>
              <w:spacing w:after="0"/>
              <w:rPr>
                <w:sz w:val="18"/>
                <w:szCs w:val="18"/>
                <w:color w:val="auto"/>
              </w:rPr>
            </w:pPr>
          </w:p>
        </w:tc>
        <w:tc>
          <w:tcPr>
            <w:tcW w:w="2540" w:type="dxa"/>
            <w:vAlign w:val="bottom"/>
            <w:gridSpan w:val="3"/>
          </w:tcPr>
          <w:p>
            <w:pPr>
              <w:jc w:val="right"/>
              <w:ind w:right="184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Change in valuation allowance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89"/>
              </w:rPr>
              <w:t>38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2540" w:type="dxa"/>
            <w:vAlign w:val="bottom"/>
            <w:gridSpan w:val="3"/>
          </w:tcPr>
          <w:p>
            <w:pPr>
              <w:jc w:val="right"/>
              <w:ind w:right="190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Nondeductible compensation expense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2540" w:type="dxa"/>
            <w:vAlign w:val="bottom"/>
            <w:gridSpan w:val="3"/>
          </w:tcPr>
          <w:p>
            <w:pPr>
              <w:jc w:val="right"/>
              <w:ind w:right="19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3"/>
          </w:tcPr>
          <w:p>
            <w:pPr>
              <w:jc w:val="right"/>
              <w:ind w:right="19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6420" w:type="dxa"/>
            <w:vAlign w:val="bottom"/>
            <w:vMerge w:val="restart"/>
          </w:tcPr>
          <w:p>
            <w:pPr>
              <w:ind w:left="320"/>
              <w:spacing w:after="0"/>
              <w:rPr>
                <w:sz w:val="20"/>
                <w:szCs w:val="20"/>
                <w:color w:val="auto"/>
              </w:rPr>
            </w:pPr>
            <w:r>
              <w:rPr>
                <w:rFonts w:ascii="Arial" w:cs="Arial" w:eastAsia="Arial" w:hAnsi="Arial"/>
                <w:sz w:val="18"/>
                <w:szCs w:val="18"/>
                <w:color w:val="auto"/>
              </w:rPr>
              <w:t>Effective tax rate</w:t>
            </w:r>
          </w:p>
        </w:tc>
        <w:tc>
          <w:tcPr>
            <w:tcW w:w="4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gridSpan w:val="2"/>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gridSpan w:val="2"/>
            <w:shd w:val="clear" w:color="auto" w:fill="000000"/>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64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540" w:type="dxa"/>
            <w:vAlign w:val="bottom"/>
            <w:gridSpan w:val="3"/>
          </w:tcPr>
          <w:p>
            <w:pPr>
              <w:jc w:val="right"/>
              <w:ind w:right="17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
        </w:trPr>
        <w:tc>
          <w:tcPr>
            <w:tcW w:w="300" w:type="dxa"/>
            <w:vAlign w:val="bottom"/>
          </w:tcPr>
          <w:p>
            <w:pPr>
              <w:spacing w:after="0" w:line="20" w:lineRule="exact"/>
              <w:rPr>
                <w:sz w:val="1"/>
                <w:szCs w:val="1"/>
                <w:color w:val="auto"/>
              </w:rPr>
            </w:pPr>
          </w:p>
        </w:tc>
        <w:tc>
          <w:tcPr>
            <w:tcW w:w="6420" w:type="dxa"/>
            <w:vAlign w:val="bottom"/>
            <w:vMerge w:val="restart"/>
          </w:tcPr>
          <w:p>
            <w:pPr>
              <w:ind w:left="5320"/>
              <w:spacing w:after="0"/>
              <w:rPr>
                <w:sz w:val="20"/>
                <w:szCs w:val="20"/>
                <w:color w:val="auto"/>
              </w:rPr>
            </w:pPr>
            <w:r>
              <w:rPr>
                <w:rFonts w:ascii="Arial" w:cs="Arial" w:eastAsia="Arial" w:hAnsi="Arial"/>
                <w:sz w:val="18"/>
                <w:szCs w:val="18"/>
                <w:color w:val="auto"/>
              </w:rPr>
              <w:t>44</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300" w:type="dxa"/>
            <w:vAlign w:val="bottom"/>
          </w:tcPr>
          <w:p>
            <w:pPr>
              <w:spacing w:after="0"/>
              <w:rPr>
                <w:sz w:val="24"/>
                <w:szCs w:val="24"/>
                <w:color w:val="auto"/>
              </w:rPr>
            </w:pPr>
          </w:p>
        </w:tc>
        <w:tc>
          <w:tcPr>
            <w:tcW w:w="64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00" w:type="dxa"/>
            <w:vAlign w:val="bottom"/>
            <w:tcBorders>
              <w:bottom w:val="single" w:sz="8" w:color="808080"/>
            </w:tcBorders>
          </w:tcPr>
          <w:p>
            <w:pPr>
              <w:spacing w:after="0"/>
              <w:rPr>
                <w:sz w:val="10"/>
                <w:szCs w:val="10"/>
                <w:color w:val="auto"/>
              </w:rPr>
            </w:pPr>
          </w:p>
        </w:tc>
        <w:tc>
          <w:tcPr>
            <w:tcW w:w="64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07" w:right="21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ind w:left="500"/>
        <w:spacing w:after="0" w:line="253" w:lineRule="auto"/>
        <w:rPr>
          <w:sz w:val="20"/>
          <w:szCs w:val="20"/>
          <w:color w:val="auto"/>
        </w:rPr>
      </w:pPr>
      <w:r>
        <w:rPr>
          <w:rFonts w:ascii="Arial" w:cs="Arial" w:eastAsia="Arial" w:hAnsi="Arial"/>
          <w:sz w:val="18"/>
          <w:szCs w:val="18"/>
          <w:color w:val="auto"/>
        </w:rPr>
        <w:t>At December 31, 2009, we had federal net operating loss (“NOL”) and research and development credit carryforwards of approximately $47.6 million and $13.4 million respectively, expiring in 2010 through various dates up through 2029. In 2009, approximately $766,000 of NOLs and $52,000 of research and development credits expired unused. Based on an analysis that we performed under Internal Revenue Code Section 382 on our NOLs generated for the period 1997 through 2009, we have not experienced a change in ownership as defined by Section 382, and, therefore, the NOLs are not currently under any Section 382 limitation. We also have approximately $730,000 of additional federal NOLs and $15,000 of additional research and development credits for 1995 that are currently being assessed under Section 382. Until we complete our review, these NOLs and research and development credits have not been included as a deferred tax asset and are not included in the balance noted above. If, upon completion of our review, these NOLs are included as a deferred tax asset, they will likely be subject to a full valuation allowance. All NOLs incurred prior to 1995 have expired unused.</w:t>
      </w:r>
    </w:p>
    <w:p>
      <w:pPr>
        <w:spacing w:after="0" w:line="224"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For state purposes, we had state NOLs and research and development credit carryforwards of approximately $10.3 million and $7.1 million respectively, expiring in 2010 through various dates up to 2024. In 2009, approximately $1.2 million of state NOLs expired unused and no research and development credits expired unused.</w:t>
      </w:r>
    </w:p>
    <w:p>
      <w:pPr>
        <w:spacing w:after="0" w:line="208"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Subsequent ownership changes, as defined in Section 382, could limit the amount of net operating loss carryforwards and research and development credits that can be utilized annually to offset future taxable income.</w:t>
      </w:r>
    </w:p>
    <w:p>
      <w:pPr>
        <w:spacing w:after="0" w:line="197"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We recorded a full valuation allowance against our deferred tax assets because we determined that it was more likely than not that such deferred tax assets may not be realized. Our decision to reserve deferred tax assets was primarily due to a history of net operating losses incurred in recent years, and the uncertainty of the timing of future taxable income. If we generate sustained future taxable income against which these tax attributes may be applied, some portion or all of the valuation allowance would be reversed.</w:t>
      </w:r>
    </w:p>
    <w:p>
      <w:pPr>
        <w:spacing w:after="0" w:line="214"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We did not record a provision for income taxes in 2009, 2008, and 2007 due to tax net operating losses and the uncertainty of the timing of profitability in future periods. However, in 2009, 2008 and 2007 we paid immaterial amounts of state excise taxes.</w:t>
      </w:r>
    </w:p>
    <w:p>
      <w:pPr>
        <w:spacing w:after="0" w:line="197"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Gross deferred tax assets include cumulative deductions for stock options in excess of book expense of $63.1 million. None of the benefit related to these options has been reflected in equity. Therefore, the portion of the deferred tax asset valuation allowance related to the tax benefit of these options must be recorded to equity, when the tax benefit is realized. The estimated federal amount of this benefit is $23.1 million, and the estimated state amount is $2.0 for a total amount of $25.1 million.</w:t>
      </w:r>
    </w:p>
    <w:p>
      <w:pPr>
        <w:spacing w:after="0" w:line="214"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We adopted the FASB’s guidance related to uncertain tax provisions on January 1, 2007. As a result of the implementation of this guidance, we recognized no material adjustment in the liability for unrecognized income tax benefits. At the adoption date of January 1, 2007 and also at December 31, 2008 and December 31, 2009, we had no unrecognized tax benefits.</w:t>
      </w:r>
    </w:p>
    <w:p>
      <w:pPr>
        <w:spacing w:after="0" w:line="208"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We recognize interest and penalties related to uncertain tax positions in income tax expense. As of December 31, 2009, we had no accrued interest or penalties related to uncertain tax positions.</w:t>
      </w:r>
    </w:p>
    <w:p>
      <w:pPr>
        <w:spacing w:after="0" w:line="193"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EQUITY AND STOCK COMPENSATION PLANS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December 31, 2009, we have three stock-based compensation plans, which are described below:</w:t>
      </w:r>
    </w:p>
    <w:p>
      <w:pPr>
        <w:spacing w:after="0" w:line="252"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b w:val="1"/>
          <w:bCs w:val="1"/>
          <w:i w:val="1"/>
          <w:iCs w:val="1"/>
          <w:color w:val="auto"/>
        </w:rPr>
        <w:t xml:space="preserve">Fixed Stock Option Plans </w:t>
      </w:r>
      <w:r>
        <w:rPr>
          <w:rFonts w:ascii="Arial" w:cs="Arial" w:eastAsia="Arial" w:hAnsi="Arial"/>
          <w:sz w:val="18"/>
          <w:szCs w:val="18"/>
          <w:color w:val="auto"/>
        </w:rPr>
        <w:t>– We have two fixed option plans. Under the 1996 Stock Option Plan (“1996 Plan”), we may grant incentive stock options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nonqualified stock options to our employees and directors for up to 6,100,000 shares of common stock. Under the 2001 Nonqualified Stock Plan (“2001 Plan”), we may grant nonqualified stock options, stock appreciation rights (“SARs”) or stock awards to our employees and directors for up to 8,000,000 shares of common stock. The term “stock option” or “option” in this Note includes SARs as SARs share most of the characteristics of options with the principal exception being that they are settled in cash instead of stock. Moreover, SARs represented approximately 1.8% of total options and SARs outstanding at December 31, 2009.</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5" w:name="page46"/>
    <w:bookmarkEnd w:id="45"/>
    <w:p>
      <w:pPr>
        <w:jc w:val="center"/>
        <w:ind w:right="460"/>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ind w:left="40"/>
        <w:spacing w:after="0" w:line="312" w:lineRule="auto"/>
        <w:rPr>
          <w:sz w:val="20"/>
          <w:szCs w:val="20"/>
          <w:color w:val="auto"/>
        </w:rPr>
      </w:pPr>
      <w:r>
        <w:rPr>
          <w:rFonts w:ascii="Arial" w:cs="Arial" w:eastAsia="Arial" w:hAnsi="Arial"/>
          <w:sz w:val="16"/>
          <w:szCs w:val="16"/>
          <w:color w:val="auto"/>
        </w:rPr>
        <w:t>Under both plans, options are granted at an exercise price as determined by the Board of Directors and have terms ranging from four to a maximum of ten years. Our options generally vest over three to five years, although we have granted options that are 50% or fully vested on the date of grant. As of December 31, 2009, there were 3,734,871 shares available for grant under the 2001 Plan, and no shares available under the 1996 Plan.</w:t>
      </w:r>
    </w:p>
    <w:p>
      <w:pPr>
        <w:spacing w:after="0" w:line="174" w:lineRule="exact"/>
        <w:rPr>
          <w:sz w:val="20"/>
          <w:szCs w:val="20"/>
          <w:color w:val="auto"/>
        </w:rPr>
      </w:pPr>
    </w:p>
    <w:p>
      <w:pPr>
        <w:jc w:val="both"/>
        <w:ind w:left="40"/>
        <w:spacing w:after="0" w:line="312" w:lineRule="auto"/>
        <w:rPr>
          <w:sz w:val="20"/>
          <w:szCs w:val="20"/>
          <w:color w:val="auto"/>
        </w:rPr>
      </w:pPr>
      <w:r>
        <w:rPr>
          <w:rFonts w:ascii="Arial" w:cs="Arial" w:eastAsia="Arial" w:hAnsi="Arial"/>
          <w:sz w:val="16"/>
          <w:szCs w:val="16"/>
          <w:color w:val="auto"/>
        </w:rPr>
        <w:t>During 2009 and 2007, we awarded unrestricted stock to our employees under the 2001 Plan. In 2009, 25,000 shares were distributed representing $60,000 of stock-based compensation expense that was charged against gain on sale of assets in connection with the Lantiq transaction. In 2007, 20,744 net shares were distributed representing $153,000 of stock-based compensation expense. We did not award any unrestricted stock in 2008.</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presents stock-based employee compensation expenses included in our consolidated statements of operations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2008</w:t>
            </w:r>
          </w:p>
        </w:tc>
        <w:tc>
          <w:tcPr>
            <w:tcW w:w="26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2007</w:t>
            </w:r>
          </w:p>
        </w:tc>
      </w:tr>
      <w:tr>
        <w:trPr>
          <w:trHeight w:val="202"/>
        </w:trPr>
        <w:tc>
          <w:tcPr>
            <w:tcW w:w="3860" w:type="dxa"/>
            <w:vAlign w:val="bottom"/>
          </w:tcPr>
          <w:p>
            <w:pPr>
              <w:spacing w:after="0" w:line="201" w:lineRule="exact"/>
              <w:rPr>
                <w:sz w:val="20"/>
                <w:szCs w:val="20"/>
                <w:color w:val="auto"/>
              </w:rPr>
            </w:pPr>
            <w:r>
              <w:rPr>
                <w:rFonts w:ascii="Arial" w:cs="Arial" w:eastAsia="Arial" w:hAnsi="Arial"/>
                <w:sz w:val="18"/>
                <w:szCs w:val="18"/>
                <w:color w:val="auto"/>
              </w:rPr>
              <w:t>Cost of product sales</w:t>
            </w:r>
          </w:p>
        </w:tc>
        <w:tc>
          <w:tcPr>
            <w:tcW w:w="20" w:type="dxa"/>
            <w:vAlign w:val="bottom"/>
          </w:tcPr>
          <w:p>
            <w:pPr>
              <w:spacing w:after="0"/>
              <w:rPr>
                <w:sz w:val="17"/>
                <w:szCs w:val="17"/>
                <w:color w:val="auto"/>
              </w:rPr>
            </w:pPr>
          </w:p>
        </w:tc>
        <w:tc>
          <w:tcPr>
            <w:tcW w:w="220" w:type="dxa"/>
            <w:vAlign w:val="bottom"/>
            <w:tcBorders>
              <w:top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w:t>
            </w:r>
          </w:p>
        </w:tc>
        <w:tc>
          <w:tcPr>
            <w:tcW w:w="200" w:type="dxa"/>
            <w:vAlign w:val="bottom"/>
          </w:tcPr>
          <w:p>
            <w:pPr>
              <w:spacing w:after="0"/>
              <w:rPr>
                <w:sz w:val="17"/>
                <w:szCs w:val="17"/>
                <w:color w:val="auto"/>
              </w:rPr>
            </w:pPr>
          </w:p>
        </w:tc>
        <w:tc>
          <w:tcPr>
            <w:tcW w:w="26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7"/>
                <w:szCs w:val="17"/>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Cost of contract revenue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135</w:t>
            </w:r>
          </w:p>
        </w:tc>
        <w:tc>
          <w:tcPr>
            <w:tcW w:w="2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176</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611</w:t>
            </w:r>
          </w:p>
        </w:tc>
        <w:tc>
          <w:tcPr>
            <w:tcW w:w="2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483</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Selling and marketing</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186</w:t>
            </w:r>
          </w:p>
        </w:tc>
        <w:tc>
          <w:tcPr>
            <w:tcW w:w="2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r>
      <w:tr>
        <w:trPr>
          <w:trHeight w:val="237"/>
        </w:trPr>
        <w:tc>
          <w:tcPr>
            <w:tcW w:w="38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562</w:t>
            </w:r>
          </w:p>
        </w:tc>
        <w:tc>
          <w:tcPr>
            <w:tcW w:w="26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347</w:t>
            </w:r>
          </w:p>
        </w:tc>
      </w:tr>
      <w:tr>
        <w:trPr>
          <w:trHeight w:val="216"/>
        </w:trPr>
        <w:tc>
          <w:tcPr>
            <w:tcW w:w="386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1,505</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20" w:type="dxa"/>
            <w:vAlign w:val="bottom"/>
          </w:tcPr>
          <w:p>
            <w:pPr>
              <w:spacing w:after="0"/>
              <w:rPr>
                <w:sz w:val="18"/>
                <w:szCs w:val="18"/>
                <w:color w:val="auto"/>
              </w:rPr>
            </w:pPr>
          </w:p>
        </w:tc>
      </w:tr>
      <w:tr>
        <w:trPr>
          <w:trHeight w:val="21"/>
        </w:trPr>
        <w:tc>
          <w:tcPr>
            <w:tcW w:w="3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40"/>
        <w:spacing w:after="0" w:line="273" w:lineRule="auto"/>
        <w:rPr>
          <w:sz w:val="20"/>
          <w:szCs w:val="20"/>
          <w:color w:val="auto"/>
        </w:rPr>
      </w:pPr>
      <w:r>
        <w:rPr>
          <w:rFonts w:ascii="Arial" w:cs="Arial" w:eastAsia="Arial" w:hAnsi="Arial"/>
          <w:sz w:val="17"/>
          <w:szCs w:val="17"/>
          <w:color w:val="auto"/>
        </w:rPr>
        <w:t>We estimate the fair value of stock options using the Black-Scholes valuation model. This valuation model takes into account the exercise price of the award, as well as a variety of significant assumptions. These assumptions used to estimate the fair value of stock options include the expected term, the expected volatility of our stock over the expected term, the risk-free interest rate over the expected term, and our expected annual dividend yield. We believe that the valuation technique and the approach utilized to develop the underlying assumptions are appropriate in calculating the fair values of our stock options granted in the years ended December 31, 2009, 2008 and 2007. Estimates of fair value are not intended to predict actual future events or the value ultimately realized by persons who receive equity awards.</w:t>
      </w:r>
    </w:p>
    <w:p>
      <w:pPr>
        <w:spacing w:after="0" w:line="205" w:lineRule="exact"/>
        <w:rPr>
          <w:sz w:val="20"/>
          <w:szCs w:val="20"/>
          <w:color w:val="auto"/>
        </w:rPr>
      </w:pPr>
    </w:p>
    <w:p>
      <w:pPr>
        <w:jc w:val="both"/>
        <w:ind w:left="40"/>
        <w:spacing w:after="0" w:line="259" w:lineRule="auto"/>
        <w:rPr>
          <w:sz w:val="20"/>
          <w:szCs w:val="20"/>
          <w:color w:val="auto"/>
        </w:rPr>
      </w:pPr>
      <w:r>
        <w:rPr>
          <w:rFonts w:ascii="Arial" w:cs="Arial" w:eastAsia="Arial" w:hAnsi="Arial"/>
          <w:sz w:val="18"/>
          <w:szCs w:val="18"/>
          <w:color w:val="auto"/>
        </w:rPr>
        <w:t>In 2009, the compensation committee of the board of directors approved an amendment to certain director and officer stock options that extended the period of time option holders have to exercise upon termination from the company. This stock option modification resulted in a non-cash stock-based compensation charge of approximately $282,000 of which $251,000 was charged to expense in 2009, and $31,000 will be amortized to expense over the next two years.</w:t>
      </w:r>
    </w:p>
    <w:p>
      <w:pPr>
        <w:spacing w:after="0" w:line="214" w:lineRule="exact"/>
        <w:rPr>
          <w:sz w:val="20"/>
          <w:szCs w:val="20"/>
          <w:color w:val="auto"/>
        </w:rPr>
      </w:pPr>
    </w:p>
    <w:p>
      <w:pPr>
        <w:jc w:val="both"/>
        <w:ind w:left="40"/>
        <w:spacing w:after="0" w:line="277" w:lineRule="auto"/>
        <w:rPr>
          <w:sz w:val="20"/>
          <w:szCs w:val="20"/>
          <w:color w:val="auto"/>
        </w:rPr>
      </w:pPr>
      <w:r>
        <w:rPr>
          <w:rFonts w:ascii="Arial" w:cs="Arial" w:eastAsia="Arial" w:hAnsi="Arial"/>
          <w:sz w:val="18"/>
          <w:szCs w:val="18"/>
          <w:color w:val="auto"/>
        </w:rPr>
        <w:t>Assumptions used to determine the fair value of options granted during the years ended December 31, 2009, 2008 and 2007, using the Black-Scholes valuation model were: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960" w:type="dxa"/>
            <w:vAlign w:val="bottom"/>
          </w:tcPr>
          <w:p>
            <w:pPr>
              <w:jc w:val="right"/>
              <w:ind w:right="550"/>
              <w:spacing w:after="0"/>
              <w:rPr>
                <w:sz w:val="20"/>
                <w:szCs w:val="20"/>
                <w:color w:val="auto"/>
              </w:rPr>
            </w:pPr>
            <w:r>
              <w:rPr>
                <w:rFonts w:ascii="Arial" w:cs="Arial" w:eastAsia="Arial" w:hAnsi="Arial"/>
                <w:sz w:val="18"/>
                <w:szCs w:val="18"/>
                <w:b w:val="1"/>
                <w:bCs w:val="1"/>
                <w:color w:val="auto"/>
              </w:rPr>
              <w:t>Year Ended</w:t>
            </w:r>
          </w:p>
        </w:tc>
        <w:tc>
          <w:tcPr>
            <w:tcW w:w="2160" w:type="dxa"/>
            <w:vAlign w:val="bottom"/>
            <w:gridSpan w:val="2"/>
          </w:tcPr>
          <w:p>
            <w:pPr>
              <w:ind w:left="500"/>
              <w:spacing w:after="0"/>
              <w:rPr>
                <w:sz w:val="20"/>
                <w:szCs w:val="20"/>
                <w:color w:val="auto"/>
              </w:rPr>
            </w:pPr>
            <w:r>
              <w:rPr>
                <w:rFonts w:ascii="Arial" w:cs="Arial" w:eastAsia="Arial" w:hAnsi="Arial"/>
                <w:sz w:val="18"/>
                <w:szCs w:val="18"/>
                <w:b w:val="1"/>
                <w:bCs w:val="1"/>
                <w:color w:val="auto"/>
              </w:rPr>
              <w:t>Year Ended</w:t>
            </w:r>
          </w:p>
        </w:tc>
        <w:tc>
          <w:tcPr>
            <w:tcW w:w="1800" w:type="dxa"/>
            <w:vAlign w:val="bottom"/>
          </w:tcPr>
          <w:p>
            <w:pPr>
              <w:jc w:val="right"/>
              <w:ind w:right="410"/>
              <w:spacing w:after="0"/>
              <w:rPr>
                <w:sz w:val="20"/>
                <w:szCs w:val="20"/>
                <w:color w:val="auto"/>
              </w:rPr>
            </w:pPr>
            <w:r>
              <w:rPr>
                <w:rFonts w:ascii="Arial" w:cs="Arial" w:eastAsia="Arial" w:hAnsi="Arial"/>
                <w:sz w:val="18"/>
                <w:szCs w:val="18"/>
                <w:b w:val="1"/>
                <w:bCs w:val="1"/>
                <w:color w:val="auto"/>
              </w:rPr>
              <w:t>Year Ended</w:t>
            </w:r>
          </w:p>
        </w:tc>
      </w:tr>
      <w:tr>
        <w:trPr>
          <w:trHeight w:val="241"/>
        </w:trPr>
        <w:tc>
          <w:tcPr>
            <w:tcW w:w="5040" w:type="dxa"/>
            <w:vAlign w:val="bottom"/>
          </w:tcPr>
          <w:p>
            <w:pPr>
              <w:spacing w:after="0"/>
              <w:rPr>
                <w:sz w:val="20"/>
                <w:szCs w:val="20"/>
                <w:color w:val="auto"/>
              </w:rPr>
            </w:pPr>
          </w:p>
        </w:tc>
        <w:tc>
          <w:tcPr>
            <w:tcW w:w="1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6"/>
              </w:rPr>
              <w:t>December 31, 2009</w:t>
            </w:r>
          </w:p>
        </w:tc>
        <w:tc>
          <w:tcPr>
            <w:tcW w:w="1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December 31, 2008</w:t>
            </w:r>
          </w:p>
        </w:tc>
        <w:tc>
          <w:tcPr>
            <w:tcW w:w="340" w:type="dxa"/>
            <w:vAlign w:val="bottom"/>
          </w:tcPr>
          <w:p>
            <w:pPr>
              <w:spacing w:after="0"/>
              <w:rPr>
                <w:sz w:val="20"/>
                <w:szCs w:val="20"/>
                <w:color w:val="auto"/>
              </w:rPr>
            </w:pPr>
          </w:p>
        </w:tc>
        <w:tc>
          <w:tcPr>
            <w:tcW w:w="1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December 31, 2007</w:t>
            </w:r>
          </w:p>
        </w:tc>
      </w:tr>
      <w:tr>
        <w:trPr>
          <w:trHeight w:val="418"/>
        </w:trPr>
        <w:tc>
          <w:tcPr>
            <w:tcW w:w="5040" w:type="dxa"/>
            <w:vAlign w:val="bottom"/>
          </w:tcPr>
          <w:p>
            <w:pPr>
              <w:spacing w:after="0"/>
              <w:rPr>
                <w:sz w:val="20"/>
                <w:szCs w:val="20"/>
                <w:color w:val="auto"/>
              </w:rPr>
            </w:pPr>
            <w:r>
              <w:rPr>
                <w:rFonts w:ascii="Arial" w:cs="Arial" w:eastAsia="Arial" w:hAnsi="Arial"/>
                <w:sz w:val="18"/>
                <w:szCs w:val="18"/>
                <w:color w:val="auto"/>
              </w:rPr>
              <w:t>Expected term(1)</w:t>
            </w:r>
          </w:p>
        </w:tc>
        <w:tc>
          <w:tcPr>
            <w:tcW w:w="1960" w:type="dxa"/>
            <w:vAlign w:val="bottom"/>
          </w:tcPr>
          <w:p>
            <w:pPr>
              <w:jc w:val="right"/>
              <w:ind w:right="150"/>
              <w:spacing w:after="0"/>
              <w:rPr>
                <w:sz w:val="20"/>
                <w:szCs w:val="20"/>
                <w:color w:val="auto"/>
              </w:rPr>
            </w:pPr>
            <w:r>
              <w:rPr>
                <w:rFonts w:ascii="Arial" w:cs="Arial" w:eastAsia="Arial" w:hAnsi="Arial"/>
                <w:sz w:val="18"/>
                <w:szCs w:val="18"/>
                <w:color w:val="auto"/>
              </w:rPr>
              <w:t>6.58-6.73 years</w:t>
            </w:r>
          </w:p>
        </w:tc>
        <w:tc>
          <w:tcPr>
            <w:tcW w:w="2160" w:type="dxa"/>
            <w:vAlign w:val="bottom"/>
            <w:gridSpan w:val="2"/>
          </w:tcPr>
          <w:p>
            <w:pPr>
              <w:ind w:left="700"/>
              <w:spacing w:after="0"/>
              <w:rPr>
                <w:sz w:val="20"/>
                <w:szCs w:val="20"/>
                <w:color w:val="auto"/>
              </w:rPr>
            </w:pPr>
            <w:r>
              <w:rPr>
                <w:rFonts w:ascii="Arial" w:cs="Arial" w:eastAsia="Arial" w:hAnsi="Arial"/>
                <w:sz w:val="18"/>
                <w:szCs w:val="18"/>
                <w:color w:val="auto"/>
              </w:rPr>
              <w:t>6.70-7.16 years</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6.25 years</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Expected volatility factor(2)</w:t>
            </w:r>
          </w:p>
        </w:tc>
        <w:tc>
          <w:tcPr>
            <w:tcW w:w="1960" w:type="dxa"/>
            <w:vAlign w:val="bottom"/>
          </w:tcPr>
          <w:p>
            <w:pPr>
              <w:jc w:val="right"/>
              <w:ind w:right="150"/>
              <w:spacing w:after="0"/>
              <w:rPr>
                <w:sz w:val="20"/>
                <w:szCs w:val="20"/>
                <w:color w:val="auto"/>
              </w:rPr>
            </w:pPr>
            <w:r>
              <w:rPr>
                <w:rFonts w:ascii="Arial" w:cs="Arial" w:eastAsia="Arial" w:hAnsi="Arial"/>
                <w:sz w:val="18"/>
                <w:szCs w:val="18"/>
                <w:color w:val="auto"/>
              </w:rPr>
              <w:t>60-62%</w:t>
            </w:r>
          </w:p>
        </w:tc>
        <w:tc>
          <w:tcPr>
            <w:tcW w:w="2160" w:type="dxa"/>
            <w:vAlign w:val="bottom"/>
            <w:gridSpan w:val="2"/>
          </w:tcPr>
          <w:p>
            <w:pPr>
              <w:jc w:val="right"/>
              <w:ind w:right="340"/>
              <w:spacing w:after="0"/>
              <w:rPr>
                <w:sz w:val="20"/>
                <w:szCs w:val="20"/>
                <w:color w:val="auto"/>
              </w:rPr>
            </w:pPr>
            <w:r>
              <w:rPr>
                <w:rFonts w:ascii="Arial" w:cs="Arial" w:eastAsia="Arial" w:hAnsi="Arial"/>
                <w:sz w:val="18"/>
                <w:szCs w:val="18"/>
                <w:color w:val="auto"/>
              </w:rPr>
              <w:t>51-54%</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51-56%</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Risk-free interest rate(3)</w:t>
            </w:r>
          </w:p>
        </w:tc>
        <w:tc>
          <w:tcPr>
            <w:tcW w:w="1960" w:type="dxa"/>
            <w:vAlign w:val="bottom"/>
          </w:tcPr>
          <w:p>
            <w:pPr>
              <w:jc w:val="right"/>
              <w:ind w:right="150"/>
              <w:spacing w:after="0"/>
              <w:rPr>
                <w:sz w:val="20"/>
                <w:szCs w:val="20"/>
                <w:color w:val="auto"/>
              </w:rPr>
            </w:pPr>
            <w:r>
              <w:rPr>
                <w:rFonts w:ascii="Arial" w:cs="Arial" w:eastAsia="Arial" w:hAnsi="Arial"/>
                <w:sz w:val="18"/>
                <w:szCs w:val="18"/>
                <w:color w:val="auto"/>
              </w:rPr>
              <w:t>1.76-2.47%</w:t>
            </w:r>
          </w:p>
        </w:tc>
        <w:tc>
          <w:tcPr>
            <w:tcW w:w="1820" w:type="dxa"/>
            <w:vAlign w:val="bottom"/>
          </w:tcPr>
          <w:p>
            <w:pPr>
              <w:jc w:val="right"/>
              <w:spacing w:after="0"/>
              <w:rPr>
                <w:sz w:val="20"/>
                <w:szCs w:val="20"/>
                <w:color w:val="auto"/>
              </w:rPr>
            </w:pPr>
            <w:r>
              <w:rPr>
                <w:rFonts w:ascii="Arial" w:cs="Arial" w:eastAsia="Arial" w:hAnsi="Arial"/>
                <w:sz w:val="18"/>
                <w:szCs w:val="18"/>
                <w:color w:val="auto"/>
              </w:rPr>
              <w:t>2.17-3.16%</w:t>
            </w:r>
          </w:p>
        </w:tc>
        <w:tc>
          <w:tcPr>
            <w:tcW w:w="340" w:type="dxa"/>
            <w:vAlign w:val="bottom"/>
          </w:tcPr>
          <w:p>
            <w:pPr>
              <w:spacing w:after="0"/>
              <w:rPr>
                <w:sz w:val="18"/>
                <w:szCs w:val="18"/>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3.80-4.73%</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Expected annual dividend yield</w:t>
            </w:r>
          </w:p>
        </w:tc>
        <w:tc>
          <w:tcPr>
            <w:tcW w:w="19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291465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both"/>
        <w:ind w:left="460" w:hanging="453"/>
        <w:spacing w:after="0" w:line="259" w:lineRule="auto"/>
        <w:tabs>
          <w:tab w:leader="none" w:pos="51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expected term for each grant for the years ended December 31, 2009 and 2008 were determined based on the historical average term of grants issued over the past seven years. The expected term for each grant for the year ended December 31, 2007 was determined as the midpoint between the vesting date and the end of the contractual term, also known as the “simplified method” for estimating the expected term described by Staff Accounting Bulletin No. 107 (“SAB 107”).</w:t>
      </w:r>
    </w:p>
    <w:p>
      <w:pPr>
        <w:spacing w:after="0" w:line="186" w:lineRule="exact"/>
        <w:rPr>
          <w:rFonts w:ascii="Arial" w:cs="Arial" w:eastAsia="Arial" w:hAnsi="Arial"/>
          <w:sz w:val="18"/>
          <w:szCs w:val="18"/>
          <w:color w:val="auto"/>
        </w:rPr>
      </w:pPr>
    </w:p>
    <w:p>
      <w:pPr>
        <w:ind w:left="460" w:hanging="453"/>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expected volatility for each grant is estimated based on an average of historical volatility over a period of time which we believe to be representative of our future volatility.</w:t>
      </w:r>
    </w:p>
    <w:p>
      <w:pPr>
        <w:spacing w:after="0" w:line="200" w:lineRule="exact"/>
        <w:rPr>
          <w:sz w:val="20"/>
          <w:szCs w:val="20"/>
          <w:color w:val="auto"/>
        </w:rPr>
      </w:pPr>
    </w:p>
    <w:p>
      <w:pPr>
        <w:spacing w:after="0" w:line="2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81280</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960"/>
          </w:cols>
          <w:pgMar w:left="700" w:top="607" w:right="239" w:bottom="1440" w:gutter="0" w:footer="0" w:header="0"/>
        </w:sectPr>
      </w:pPr>
    </w:p>
    <w:bookmarkStart w:id="46" w:name="page47"/>
    <w:bookmarkEnd w:id="46"/>
    <w:p>
      <w:pPr>
        <w:jc w:val="center"/>
        <w:ind w:right="20"/>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ind w:left="920" w:right="20" w:hanging="453"/>
        <w:spacing w:after="0" w:line="277" w:lineRule="auto"/>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risk-free interest rate for each grant is based on the U.S. Treasury yield curve in effect at the time of grant for a period equal to the expected term of the stock option.</w:t>
      </w:r>
    </w:p>
    <w:p>
      <w:pPr>
        <w:spacing w:after="0" w:line="197" w:lineRule="exact"/>
        <w:rPr>
          <w:sz w:val="20"/>
          <w:szCs w:val="20"/>
          <w:color w:val="auto"/>
        </w:rPr>
      </w:pPr>
    </w:p>
    <w:p>
      <w:pPr>
        <w:jc w:val="both"/>
        <w:ind w:left="500" w:right="20"/>
        <w:spacing w:after="0" w:line="277" w:lineRule="auto"/>
        <w:rPr>
          <w:sz w:val="20"/>
          <w:szCs w:val="20"/>
          <w:color w:val="auto"/>
        </w:rPr>
      </w:pPr>
      <w:r>
        <w:rPr>
          <w:rFonts w:ascii="Arial" w:cs="Arial" w:eastAsia="Arial" w:hAnsi="Arial"/>
          <w:sz w:val="18"/>
          <w:szCs w:val="18"/>
          <w:color w:val="auto"/>
        </w:rPr>
        <w:t>We do not estimate our forfeiture rates as the actual forfeiture rate is known at the end of each reporting period due to the timing of our stock option vesting.</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 summary of the transactions of our two fixed stock option plans for the years ended December 31, 2009, 2008, and 2007 are presented below:</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00" w:type="dxa"/>
            <w:vAlign w:val="bottom"/>
          </w:tcPr>
          <w:p>
            <w:pPr>
              <w:spacing w:after="0"/>
              <w:rPr>
                <w:sz w:val="20"/>
                <w:szCs w:val="20"/>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2008</w:t>
            </w:r>
          </w:p>
        </w:tc>
        <w:tc>
          <w:tcPr>
            <w:tcW w:w="8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2007</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8"/>
        </w:trPr>
        <w:tc>
          <w:tcPr>
            <w:tcW w:w="4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1"/>
              </w:rPr>
              <w:t>Weighted</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20" w:type="dxa"/>
            <w:vAlign w:val="bottom"/>
          </w:tcPr>
          <w:p>
            <w:pPr>
              <w:spacing w:after="0"/>
              <w:rPr>
                <w:sz w:val="17"/>
                <w:szCs w:val="17"/>
                <w:color w:val="auto"/>
              </w:rPr>
            </w:pPr>
          </w:p>
        </w:tc>
      </w:tr>
      <w:tr>
        <w:trPr>
          <w:trHeight w:val="216"/>
        </w:trPr>
        <w:tc>
          <w:tcPr>
            <w:tcW w:w="4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Average</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4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9"/>
              </w:rPr>
              <w:t>Exercise</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Exercise</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Exercise</w:t>
            </w:r>
          </w:p>
        </w:tc>
      </w:tr>
      <w:tr>
        <w:trPr>
          <w:trHeight w:val="241"/>
        </w:trPr>
        <w:tc>
          <w:tcPr>
            <w:tcW w:w="470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0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Price</w:t>
            </w:r>
          </w:p>
        </w:tc>
      </w:tr>
      <w:tr>
        <w:trPr>
          <w:trHeight w:val="202"/>
        </w:trPr>
        <w:tc>
          <w:tcPr>
            <w:tcW w:w="4700" w:type="dxa"/>
            <w:vAlign w:val="bottom"/>
          </w:tcPr>
          <w:p>
            <w:pPr>
              <w:spacing w:after="0" w:line="201" w:lineRule="exact"/>
              <w:rPr>
                <w:sz w:val="20"/>
                <w:szCs w:val="20"/>
                <w:color w:val="auto"/>
              </w:rPr>
            </w:pPr>
            <w:r>
              <w:rPr>
                <w:rFonts w:ascii="Arial" w:cs="Arial" w:eastAsia="Arial" w:hAnsi="Arial"/>
                <w:sz w:val="18"/>
                <w:szCs w:val="18"/>
                <w:color w:val="auto"/>
              </w:rPr>
              <w:t>Outstanding at beginning of year</w:t>
            </w:r>
          </w:p>
        </w:tc>
        <w:tc>
          <w:tcPr>
            <w:tcW w:w="110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rPr>
              <w:t>7,538,993</w:t>
            </w:r>
          </w:p>
        </w:tc>
        <w:tc>
          <w:tcPr>
            <w:tcW w:w="1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4.68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6,974,705</w:t>
            </w:r>
          </w:p>
        </w:tc>
        <w:tc>
          <w:tcPr>
            <w:tcW w:w="2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4.84</w:t>
            </w:r>
          </w:p>
        </w:tc>
        <w:tc>
          <w:tcPr>
            <w:tcW w:w="200" w:type="dxa"/>
            <w:vAlign w:val="bottom"/>
          </w:tcPr>
          <w:p>
            <w:pPr>
              <w:spacing w:after="0"/>
              <w:rPr>
                <w:sz w:val="17"/>
                <w:szCs w:val="17"/>
                <w:color w:val="auto"/>
              </w:rPr>
            </w:pPr>
          </w:p>
        </w:tc>
        <w:tc>
          <w:tcPr>
            <w:tcW w:w="1040" w:type="dxa"/>
            <w:vAlign w:val="bottom"/>
            <w:tcBorders>
              <w:top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6,489,812</w:t>
            </w:r>
          </w:p>
        </w:tc>
        <w:tc>
          <w:tcPr>
            <w:tcW w:w="2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4.80</w:t>
            </w:r>
          </w:p>
        </w:tc>
        <w:tc>
          <w:tcPr>
            <w:tcW w:w="20" w:type="dxa"/>
            <w:vAlign w:val="bottom"/>
          </w:tcPr>
          <w:p>
            <w:pPr>
              <w:spacing w:after="0"/>
              <w:rPr>
                <w:sz w:val="17"/>
                <w:szCs w:val="17"/>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113,400</w:t>
            </w: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2.51</w:t>
            </w:r>
          </w:p>
        </w:tc>
        <w:tc>
          <w:tcPr>
            <w:tcW w:w="2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1,093,200</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3.57</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737,000</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4.79</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Exercised</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(187)</w:t>
            </w: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(136,158)</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2.64</w:t>
            </w:r>
          </w:p>
        </w:tc>
        <w:tc>
          <w:tcPr>
            <w:tcW w:w="1040" w:type="dxa"/>
            <w:vAlign w:val="bottom"/>
          </w:tcPr>
          <w:p>
            <w:pPr>
              <w:jc w:val="right"/>
              <w:spacing w:after="0"/>
              <w:rPr>
                <w:sz w:val="20"/>
                <w:szCs w:val="20"/>
                <w:color w:val="auto"/>
              </w:rPr>
            </w:pPr>
            <w:r>
              <w:rPr>
                <w:rFonts w:ascii="Arial" w:cs="Arial" w:eastAsia="Arial" w:hAnsi="Arial"/>
                <w:sz w:val="18"/>
                <w:szCs w:val="18"/>
                <w:color w:val="auto"/>
              </w:rPr>
              <w:t>(197,853)</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3.21</w:t>
            </w:r>
          </w:p>
        </w:tc>
      </w:tr>
      <w:tr>
        <w:trPr>
          <w:trHeight w:val="237"/>
        </w:trPr>
        <w:tc>
          <w:tcPr>
            <w:tcW w:w="4700" w:type="dxa"/>
            <w:vAlign w:val="bottom"/>
          </w:tcPr>
          <w:p>
            <w:pPr>
              <w:spacing w:after="0"/>
              <w:rPr>
                <w:sz w:val="20"/>
                <w:szCs w:val="20"/>
                <w:color w:val="auto"/>
              </w:rPr>
            </w:pPr>
            <w:r>
              <w:rPr>
                <w:rFonts w:ascii="Arial" w:cs="Arial" w:eastAsia="Arial" w:hAnsi="Arial"/>
                <w:sz w:val="18"/>
                <w:szCs w:val="18"/>
                <w:color w:val="auto"/>
              </w:rPr>
              <w:t>Forfeited or cancelled</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(1,632,234)</w:t>
            </w:r>
          </w:p>
        </w:tc>
        <w:tc>
          <w:tcPr>
            <w:tcW w:w="18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5.48</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(392,754)</w:t>
            </w:r>
          </w:p>
        </w:tc>
        <w:tc>
          <w:tcPr>
            <w:tcW w:w="2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5.13</w:t>
            </w:r>
          </w:p>
        </w:tc>
        <w:tc>
          <w:tcPr>
            <w:tcW w:w="1040" w:type="dxa"/>
            <w:vAlign w:val="bottom"/>
          </w:tcPr>
          <w:p>
            <w:pPr>
              <w:jc w:val="right"/>
              <w:spacing w:after="0"/>
              <w:rPr>
                <w:sz w:val="20"/>
                <w:szCs w:val="20"/>
                <w:color w:val="auto"/>
              </w:rPr>
            </w:pPr>
            <w:r>
              <w:rPr>
                <w:rFonts w:ascii="Arial" w:cs="Arial" w:eastAsia="Arial" w:hAnsi="Arial"/>
                <w:sz w:val="18"/>
                <w:szCs w:val="18"/>
                <w:color w:val="auto"/>
              </w:rPr>
              <w:t>(54,254)</w:t>
            </w:r>
          </w:p>
        </w:tc>
        <w:tc>
          <w:tcPr>
            <w:tcW w:w="2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5.87</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Outstanding at end of year</w:t>
            </w:r>
          </w:p>
        </w:tc>
        <w:tc>
          <w:tcPr>
            <w:tcW w:w="11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6,019,972</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4.42</w:t>
            </w:r>
          </w:p>
        </w:tc>
        <w:tc>
          <w:tcPr>
            <w:tcW w:w="2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7,538,993</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2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6,974,705</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20" w:type="dxa"/>
            <w:vAlign w:val="bottom"/>
          </w:tcPr>
          <w:p>
            <w:pPr>
              <w:spacing w:after="0"/>
              <w:rPr>
                <w:sz w:val="18"/>
                <w:szCs w:val="18"/>
                <w:color w:val="auto"/>
              </w:rPr>
            </w:pPr>
          </w:p>
        </w:tc>
      </w:tr>
      <w:tr>
        <w:trPr>
          <w:trHeight w:val="21"/>
        </w:trPr>
        <w:tc>
          <w:tcPr>
            <w:tcW w:w="4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4700" w:type="dxa"/>
            <w:vAlign w:val="bottom"/>
          </w:tcPr>
          <w:p>
            <w:pPr>
              <w:spacing w:after="0"/>
              <w:rPr>
                <w:sz w:val="20"/>
                <w:szCs w:val="20"/>
                <w:color w:val="auto"/>
              </w:rPr>
            </w:pPr>
            <w:r>
              <w:rPr>
                <w:rFonts w:ascii="Arial" w:cs="Arial" w:eastAsia="Arial" w:hAnsi="Arial"/>
                <w:sz w:val="18"/>
                <w:szCs w:val="18"/>
                <w:color w:val="auto"/>
              </w:rPr>
              <w:t>Options exercisable at year end</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5,269,969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4.51</w:t>
            </w:r>
          </w:p>
        </w:tc>
        <w:tc>
          <w:tcPr>
            <w:tcW w:w="200" w:type="dxa"/>
            <w:vAlign w:val="bottom"/>
          </w:tcPr>
          <w:p>
            <w:pPr>
              <w:spacing w:after="0"/>
              <w:rPr>
                <w:sz w:val="24"/>
                <w:szCs w:val="24"/>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6,059,397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4.80</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5,809,280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4.80</w:t>
            </w:r>
          </w:p>
        </w:tc>
      </w:tr>
    </w:tbl>
    <w:p>
      <w:pPr>
        <w:spacing w:after="0" w:line="229" w:lineRule="exact"/>
        <w:rPr>
          <w:sz w:val="20"/>
          <w:szCs w:val="20"/>
          <w:color w:val="auto"/>
        </w:rPr>
      </w:pPr>
    </w:p>
    <w:p>
      <w:pPr>
        <w:jc w:val="both"/>
        <w:ind w:left="500" w:right="20"/>
        <w:spacing w:after="0" w:line="308" w:lineRule="auto"/>
        <w:rPr>
          <w:sz w:val="20"/>
          <w:szCs w:val="20"/>
          <w:color w:val="auto"/>
        </w:rPr>
      </w:pPr>
      <w:r>
        <w:rPr>
          <w:rFonts w:ascii="Arial" w:cs="Arial" w:eastAsia="Arial" w:hAnsi="Arial"/>
          <w:sz w:val="17"/>
          <w:szCs w:val="17"/>
          <w:color w:val="auto"/>
        </w:rPr>
        <w:t>All options granted during the years ended December 31, 2009, 2008 and 2007 had exercise prices equal to the fair market value of our common stock on the date of grant, and the weighted average grant date fair values of options granted were $1.51, $1.97, and $2.66, respectively.</w:t>
      </w:r>
    </w:p>
    <w:p>
      <w:pPr>
        <w:spacing w:after="0" w:line="174" w:lineRule="exact"/>
        <w:rPr>
          <w:sz w:val="20"/>
          <w:szCs w:val="20"/>
          <w:color w:val="auto"/>
        </w:rPr>
      </w:pPr>
    </w:p>
    <w:p>
      <w:pPr>
        <w:jc w:val="both"/>
        <w:ind w:left="500" w:right="20"/>
        <w:spacing w:after="0" w:line="277" w:lineRule="auto"/>
        <w:rPr>
          <w:sz w:val="20"/>
          <w:szCs w:val="20"/>
          <w:color w:val="auto"/>
        </w:rPr>
      </w:pPr>
      <w:r>
        <w:rPr>
          <w:rFonts w:ascii="Arial" w:cs="Arial" w:eastAsia="Arial" w:hAnsi="Arial"/>
          <w:sz w:val="18"/>
          <w:szCs w:val="18"/>
          <w:color w:val="auto"/>
        </w:rPr>
        <w:t>At December 31, 2009, the weighted average remaining contractual term for total options outstanding and total options exercisable was approximately 5 years for each.</w:t>
      </w:r>
    </w:p>
    <w:p>
      <w:pPr>
        <w:spacing w:after="0" w:line="197" w:lineRule="exact"/>
        <w:rPr>
          <w:sz w:val="20"/>
          <w:szCs w:val="20"/>
          <w:color w:val="auto"/>
        </w:rPr>
      </w:pPr>
    </w:p>
    <w:p>
      <w:pPr>
        <w:jc w:val="both"/>
        <w:ind w:left="500" w:right="20"/>
        <w:spacing w:after="0" w:line="259" w:lineRule="auto"/>
        <w:rPr>
          <w:sz w:val="20"/>
          <w:szCs w:val="20"/>
          <w:color w:val="auto"/>
        </w:rPr>
      </w:pPr>
      <w:r>
        <w:rPr>
          <w:rFonts w:ascii="Arial" w:cs="Arial" w:eastAsia="Arial" w:hAnsi="Arial"/>
          <w:sz w:val="18"/>
          <w:szCs w:val="18"/>
          <w:color w:val="auto"/>
        </w:rPr>
        <w:t>At December 31, 2009, the aggregate intrinsic value of options outstanding and options exercisable was zero for both as each group of options was out-of-the money by approximately $9.8 million and $9.0 million, respectively. The intrinsic value of a stock option is the amount by which the market value of the underlying stock exceeds the exercise price of the option. The aggregate intrinsic value of options exercised during the year ended December 31, 2009 was approximately $146.</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stock options outstanding at December 31, 2009:</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jc w:val="right"/>
              <w:ind w:right="1010"/>
              <w:spacing w:after="0"/>
              <w:rPr>
                <w:sz w:val="20"/>
                <w:szCs w:val="20"/>
                <w:color w:val="auto"/>
              </w:rPr>
            </w:pPr>
            <w:r>
              <w:rPr>
                <w:rFonts w:ascii="Arial" w:cs="Arial" w:eastAsia="Arial" w:hAnsi="Arial"/>
                <w:sz w:val="18"/>
                <w:szCs w:val="18"/>
                <w:b w:val="1"/>
                <w:bCs w:val="1"/>
                <w:color w:val="auto"/>
                <w:w w:val="91"/>
              </w:rPr>
              <w:t>Options Outstanding</w:t>
            </w:r>
          </w:p>
        </w:tc>
        <w:tc>
          <w:tcPr>
            <w:tcW w:w="200" w:type="dxa"/>
            <w:vAlign w:val="bottom"/>
          </w:tcPr>
          <w:p>
            <w:pPr>
              <w:spacing w:after="0"/>
              <w:rPr>
                <w:sz w:val="20"/>
                <w:szCs w:val="20"/>
                <w:color w:val="auto"/>
              </w:rPr>
            </w:pPr>
          </w:p>
        </w:tc>
        <w:tc>
          <w:tcPr>
            <w:tcW w:w="232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Options Exercisable</w:t>
            </w:r>
          </w:p>
        </w:tc>
        <w:tc>
          <w:tcPr>
            <w:tcW w:w="800" w:type="dxa"/>
            <w:vAlign w:val="bottom"/>
          </w:tcPr>
          <w:p>
            <w:pPr>
              <w:spacing w:after="0"/>
              <w:rPr>
                <w:sz w:val="20"/>
                <w:szCs w:val="20"/>
                <w:color w:val="auto"/>
              </w:rPr>
            </w:pPr>
          </w:p>
        </w:tc>
      </w:tr>
      <w:tr>
        <w:trPr>
          <w:trHeight w:val="441"/>
        </w:trPr>
        <w:tc>
          <w:tcPr>
            <w:tcW w:w="5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Weighted</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7"/>
              </w:rPr>
              <w:t>Weighted Average</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Weighted</w:t>
            </w:r>
          </w:p>
        </w:tc>
        <w:tc>
          <w:tcPr>
            <w:tcW w:w="80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Average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Average</w:t>
            </w:r>
          </w:p>
        </w:tc>
        <w:tc>
          <w:tcPr>
            <w:tcW w:w="8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Exercise Price</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center"/>
              <w:ind w:right="130"/>
              <w:spacing w:after="0"/>
              <w:rPr>
                <w:sz w:val="20"/>
                <w:szCs w:val="20"/>
                <w:color w:val="auto"/>
              </w:rPr>
            </w:pPr>
            <w:r>
              <w:rPr>
                <w:rFonts w:ascii="Arial" w:cs="Arial" w:eastAsia="Arial" w:hAnsi="Arial"/>
                <w:sz w:val="18"/>
                <w:szCs w:val="18"/>
                <w:b w:val="1"/>
                <w:bCs w:val="1"/>
                <w:color w:val="auto"/>
                <w:w w:val="86"/>
              </w:rPr>
              <w:t>Exercise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Exercise</w:t>
            </w:r>
          </w:p>
        </w:tc>
        <w:tc>
          <w:tcPr>
            <w:tcW w:w="800" w:type="dxa"/>
            <w:vAlign w:val="bottom"/>
          </w:tcPr>
          <w:p>
            <w:pPr>
              <w:spacing w:after="0"/>
              <w:rPr>
                <w:sz w:val="18"/>
                <w:szCs w:val="18"/>
                <w:color w:val="auto"/>
              </w:rPr>
            </w:pPr>
          </w:p>
        </w:tc>
      </w:tr>
      <w:tr>
        <w:trPr>
          <w:trHeight w:val="241"/>
        </w:trPr>
        <w:tc>
          <w:tcPr>
            <w:tcW w:w="58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Range</w:t>
            </w: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w:t>
            </w:r>
          </w:p>
        </w:tc>
        <w:tc>
          <w:tcPr>
            <w:tcW w:w="280" w:type="dxa"/>
            <w:vAlign w:val="bottom"/>
          </w:tcPr>
          <w:p>
            <w:pPr>
              <w:spacing w:after="0"/>
              <w:rPr>
                <w:sz w:val="20"/>
                <w:szCs w:val="20"/>
                <w:color w:val="auto"/>
              </w:rPr>
            </w:pPr>
          </w:p>
        </w:tc>
        <w:tc>
          <w:tcPr>
            <w:tcW w:w="94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Price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Term (in years)</w:t>
            </w:r>
          </w:p>
        </w:tc>
        <w:tc>
          <w:tcPr>
            <w:tcW w:w="200" w:type="dxa"/>
            <w:vAlign w:val="bottom"/>
          </w:tcPr>
          <w:p>
            <w:pPr>
              <w:spacing w:after="0"/>
              <w:rPr>
                <w:sz w:val="20"/>
                <w:szCs w:val="20"/>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20"/>
                <w:szCs w:val="20"/>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Price</w:t>
            </w:r>
          </w:p>
        </w:tc>
        <w:tc>
          <w:tcPr>
            <w:tcW w:w="800" w:type="dxa"/>
            <w:vAlign w:val="bottom"/>
          </w:tcPr>
          <w:p>
            <w:pPr>
              <w:spacing w:after="0"/>
              <w:rPr>
                <w:sz w:val="20"/>
                <w:szCs w:val="20"/>
                <w:color w:val="auto"/>
              </w:rPr>
            </w:pPr>
          </w:p>
        </w:tc>
      </w:tr>
      <w:tr>
        <w:trPr>
          <w:trHeight w:val="202"/>
        </w:trPr>
        <w:tc>
          <w:tcPr>
            <w:tcW w:w="580" w:type="dxa"/>
            <w:vAlign w:val="bottom"/>
          </w:tcPr>
          <w:p>
            <w:pPr>
              <w:spacing w:after="0"/>
              <w:rPr>
                <w:sz w:val="17"/>
                <w:szCs w:val="17"/>
                <w:color w:val="auto"/>
              </w:rPr>
            </w:pPr>
          </w:p>
        </w:tc>
        <w:tc>
          <w:tcPr>
            <w:tcW w:w="35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$0 to $3</w:t>
            </w:r>
          </w:p>
        </w:tc>
        <w:tc>
          <w:tcPr>
            <w:tcW w:w="200" w:type="dxa"/>
            <w:vAlign w:val="bottom"/>
          </w:tcPr>
          <w:p>
            <w:pPr>
              <w:spacing w:after="0"/>
              <w:rPr>
                <w:sz w:val="17"/>
                <w:szCs w:val="17"/>
                <w:color w:val="auto"/>
              </w:rPr>
            </w:pP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733,368</w:t>
            </w: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2.83</w:t>
            </w:r>
          </w:p>
        </w:tc>
        <w:tc>
          <w:tcPr>
            <w:tcW w:w="15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5.08</w:t>
            </w:r>
          </w:p>
        </w:tc>
        <w:tc>
          <w:tcPr>
            <w:tcW w:w="1320" w:type="dxa"/>
            <w:vAlign w:val="bottom"/>
            <w:tcBorders>
              <w:top w:val="single" w:sz="8" w:color="auto"/>
            </w:tcBorders>
            <w:gridSpan w:val="2"/>
          </w:tcPr>
          <w:p>
            <w:pPr>
              <w:jc w:val="right"/>
              <w:ind w:right="10"/>
              <w:spacing w:after="0" w:line="201" w:lineRule="exact"/>
              <w:rPr>
                <w:sz w:val="20"/>
                <w:szCs w:val="20"/>
                <w:color w:val="auto"/>
              </w:rPr>
            </w:pPr>
            <w:r>
              <w:rPr>
                <w:rFonts w:ascii="Arial" w:cs="Arial" w:eastAsia="Arial" w:hAnsi="Arial"/>
                <w:sz w:val="18"/>
                <w:szCs w:val="18"/>
                <w:color w:val="auto"/>
              </w:rPr>
              <w:t>667,140</w:t>
            </w:r>
          </w:p>
        </w:tc>
        <w:tc>
          <w:tcPr>
            <w:tcW w:w="2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2.86</w:t>
            </w:r>
          </w:p>
        </w:tc>
        <w:tc>
          <w:tcPr>
            <w:tcW w:w="80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$3 to $4</w:t>
            </w:r>
          </w:p>
        </w:tc>
        <w:tc>
          <w:tcPr>
            <w:tcW w:w="1040" w:type="dxa"/>
            <w:vAlign w:val="bottom"/>
          </w:tcPr>
          <w:p>
            <w:pPr>
              <w:jc w:val="right"/>
              <w:spacing w:after="0"/>
              <w:rPr>
                <w:sz w:val="20"/>
                <w:szCs w:val="20"/>
                <w:color w:val="auto"/>
              </w:rPr>
            </w:pPr>
            <w:r>
              <w:rPr>
                <w:rFonts w:ascii="Arial" w:cs="Arial" w:eastAsia="Arial" w:hAnsi="Arial"/>
                <w:sz w:val="18"/>
                <w:szCs w:val="18"/>
                <w:color w:val="auto"/>
              </w:rPr>
              <w:t>2,798,442</w:t>
            </w:r>
          </w:p>
        </w:tc>
        <w:tc>
          <w:tcPr>
            <w:tcW w:w="2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3.39</w:t>
            </w:r>
          </w:p>
        </w:tc>
        <w:tc>
          <w:tcPr>
            <w:tcW w:w="1540" w:type="dxa"/>
            <w:vAlign w:val="bottom"/>
          </w:tcPr>
          <w:p>
            <w:pPr>
              <w:jc w:val="right"/>
              <w:spacing w:after="0"/>
              <w:rPr>
                <w:sz w:val="20"/>
                <w:szCs w:val="20"/>
                <w:color w:val="auto"/>
              </w:rPr>
            </w:pPr>
            <w:r>
              <w:rPr>
                <w:rFonts w:ascii="Arial" w:cs="Arial" w:eastAsia="Arial" w:hAnsi="Arial"/>
                <w:sz w:val="18"/>
                <w:szCs w:val="18"/>
                <w:color w:val="auto"/>
              </w:rPr>
              <w:t>5.22</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2,313,502</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3.34</w:t>
            </w:r>
          </w:p>
        </w:tc>
        <w:tc>
          <w:tcPr>
            <w:tcW w:w="8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$4 to $5</w:t>
            </w:r>
          </w:p>
        </w:tc>
        <w:tc>
          <w:tcPr>
            <w:tcW w:w="1040" w:type="dxa"/>
            <w:vAlign w:val="bottom"/>
          </w:tcPr>
          <w:p>
            <w:pPr>
              <w:jc w:val="right"/>
              <w:spacing w:after="0"/>
              <w:rPr>
                <w:sz w:val="20"/>
                <w:szCs w:val="20"/>
                <w:color w:val="auto"/>
              </w:rPr>
            </w:pPr>
            <w:r>
              <w:rPr>
                <w:rFonts w:ascii="Arial" w:cs="Arial" w:eastAsia="Arial" w:hAnsi="Arial"/>
                <w:sz w:val="18"/>
                <w:szCs w:val="18"/>
                <w:color w:val="auto"/>
              </w:rPr>
              <w:t>288,650</w:t>
            </w:r>
          </w:p>
        </w:tc>
        <w:tc>
          <w:tcPr>
            <w:tcW w:w="2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4.64</w:t>
            </w:r>
          </w:p>
        </w:tc>
        <w:tc>
          <w:tcPr>
            <w:tcW w:w="1540" w:type="dxa"/>
            <w:vAlign w:val="bottom"/>
          </w:tcPr>
          <w:p>
            <w:pPr>
              <w:jc w:val="right"/>
              <w:spacing w:after="0"/>
              <w:rPr>
                <w:sz w:val="20"/>
                <w:szCs w:val="20"/>
                <w:color w:val="auto"/>
              </w:rPr>
            </w:pPr>
            <w:r>
              <w:rPr>
                <w:rFonts w:ascii="Arial" w:cs="Arial" w:eastAsia="Arial" w:hAnsi="Arial"/>
                <w:sz w:val="18"/>
                <w:szCs w:val="18"/>
                <w:color w:val="auto"/>
              </w:rPr>
              <w:t>7.78</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169,249</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4.65</w:t>
            </w:r>
          </w:p>
        </w:tc>
        <w:tc>
          <w:tcPr>
            <w:tcW w:w="8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$5 to $6</w:t>
            </w:r>
          </w:p>
        </w:tc>
        <w:tc>
          <w:tcPr>
            <w:tcW w:w="1040" w:type="dxa"/>
            <w:vAlign w:val="bottom"/>
          </w:tcPr>
          <w:p>
            <w:pPr>
              <w:jc w:val="right"/>
              <w:spacing w:after="0"/>
              <w:rPr>
                <w:sz w:val="20"/>
                <w:szCs w:val="20"/>
                <w:color w:val="auto"/>
              </w:rPr>
            </w:pPr>
            <w:r>
              <w:rPr>
                <w:rFonts w:ascii="Arial" w:cs="Arial" w:eastAsia="Arial" w:hAnsi="Arial"/>
                <w:sz w:val="18"/>
                <w:szCs w:val="18"/>
                <w:color w:val="auto"/>
              </w:rPr>
              <w:t>530,762</w:t>
            </w:r>
          </w:p>
        </w:tc>
        <w:tc>
          <w:tcPr>
            <w:tcW w:w="2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5.18</w:t>
            </w:r>
          </w:p>
        </w:tc>
        <w:tc>
          <w:tcPr>
            <w:tcW w:w="1540" w:type="dxa"/>
            <w:vAlign w:val="bottom"/>
          </w:tcPr>
          <w:p>
            <w:pPr>
              <w:jc w:val="right"/>
              <w:spacing w:after="0"/>
              <w:rPr>
                <w:sz w:val="20"/>
                <w:szCs w:val="20"/>
                <w:color w:val="auto"/>
              </w:rPr>
            </w:pPr>
            <w:r>
              <w:rPr>
                <w:rFonts w:ascii="Arial" w:cs="Arial" w:eastAsia="Arial" w:hAnsi="Arial"/>
                <w:sz w:val="18"/>
                <w:szCs w:val="18"/>
                <w:color w:val="auto"/>
              </w:rPr>
              <w:t>3.82</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451,673</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5.20</w:t>
            </w:r>
          </w:p>
        </w:tc>
        <w:tc>
          <w:tcPr>
            <w:tcW w:w="8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$6 to $7</w:t>
            </w:r>
          </w:p>
        </w:tc>
        <w:tc>
          <w:tcPr>
            <w:tcW w:w="1040" w:type="dxa"/>
            <w:vAlign w:val="bottom"/>
          </w:tcPr>
          <w:p>
            <w:pPr>
              <w:jc w:val="right"/>
              <w:spacing w:after="0"/>
              <w:rPr>
                <w:sz w:val="20"/>
                <w:szCs w:val="20"/>
                <w:color w:val="auto"/>
              </w:rPr>
            </w:pPr>
            <w:r>
              <w:rPr>
                <w:rFonts w:ascii="Arial" w:cs="Arial" w:eastAsia="Arial" w:hAnsi="Arial"/>
                <w:sz w:val="18"/>
                <w:szCs w:val="18"/>
                <w:color w:val="auto"/>
              </w:rPr>
              <w:t>1,599,500</w:t>
            </w:r>
          </w:p>
        </w:tc>
        <w:tc>
          <w:tcPr>
            <w:tcW w:w="2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6.08</w:t>
            </w:r>
          </w:p>
        </w:tc>
        <w:tc>
          <w:tcPr>
            <w:tcW w:w="1540" w:type="dxa"/>
            <w:vAlign w:val="bottom"/>
          </w:tcPr>
          <w:p>
            <w:pPr>
              <w:jc w:val="right"/>
              <w:spacing w:after="0"/>
              <w:rPr>
                <w:sz w:val="20"/>
                <w:szCs w:val="20"/>
                <w:color w:val="auto"/>
              </w:rPr>
            </w:pPr>
            <w:r>
              <w:rPr>
                <w:rFonts w:ascii="Arial" w:cs="Arial" w:eastAsia="Arial" w:hAnsi="Arial"/>
                <w:sz w:val="18"/>
                <w:szCs w:val="18"/>
                <w:color w:val="auto"/>
              </w:rPr>
              <w:t>5.00</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1,599,155</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6.08</w:t>
            </w:r>
          </w:p>
        </w:tc>
        <w:tc>
          <w:tcPr>
            <w:tcW w:w="8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$7 to $10</w:t>
            </w:r>
          </w:p>
        </w:tc>
        <w:tc>
          <w:tcPr>
            <w:tcW w:w="1040" w:type="dxa"/>
            <w:vAlign w:val="bottom"/>
          </w:tcPr>
          <w:p>
            <w:pPr>
              <w:jc w:val="right"/>
              <w:spacing w:after="0"/>
              <w:rPr>
                <w:sz w:val="20"/>
                <w:szCs w:val="20"/>
                <w:color w:val="auto"/>
              </w:rPr>
            </w:pPr>
            <w:r>
              <w:rPr>
                <w:rFonts w:ascii="Arial" w:cs="Arial" w:eastAsia="Arial" w:hAnsi="Arial"/>
                <w:sz w:val="18"/>
                <w:szCs w:val="18"/>
                <w:color w:val="auto"/>
              </w:rPr>
              <w:t>43,000</w:t>
            </w:r>
          </w:p>
        </w:tc>
        <w:tc>
          <w:tcPr>
            <w:tcW w:w="2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7.71</w:t>
            </w:r>
          </w:p>
        </w:tc>
        <w:tc>
          <w:tcPr>
            <w:tcW w:w="1540" w:type="dxa"/>
            <w:vAlign w:val="bottom"/>
          </w:tcPr>
          <w:p>
            <w:pPr>
              <w:jc w:val="right"/>
              <w:spacing w:after="0"/>
              <w:rPr>
                <w:sz w:val="20"/>
                <w:szCs w:val="20"/>
                <w:color w:val="auto"/>
              </w:rPr>
            </w:pPr>
            <w:r>
              <w:rPr>
                <w:rFonts w:ascii="Arial" w:cs="Arial" w:eastAsia="Arial" w:hAnsi="Arial"/>
                <w:sz w:val="18"/>
                <w:szCs w:val="18"/>
                <w:color w:val="auto"/>
              </w:rPr>
              <w:t>1.47</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43,000</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7.71</w:t>
            </w:r>
          </w:p>
        </w:tc>
        <w:tc>
          <w:tcPr>
            <w:tcW w:w="800" w:type="dxa"/>
            <w:vAlign w:val="bottom"/>
          </w:tcPr>
          <w:p>
            <w:pPr>
              <w:spacing w:after="0"/>
              <w:rPr>
                <w:sz w:val="18"/>
                <w:szCs w:val="18"/>
                <w:color w:val="auto"/>
              </w:rPr>
            </w:pPr>
          </w:p>
        </w:tc>
      </w:tr>
      <w:tr>
        <w:trPr>
          <w:trHeight w:val="237"/>
        </w:trPr>
        <w:tc>
          <w:tcPr>
            <w:tcW w:w="58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$10 to $63</w:t>
            </w:r>
          </w:p>
        </w:tc>
        <w:tc>
          <w:tcPr>
            <w:tcW w:w="1040" w:type="dxa"/>
            <w:vAlign w:val="bottom"/>
          </w:tcPr>
          <w:p>
            <w:pPr>
              <w:jc w:val="right"/>
              <w:spacing w:after="0"/>
              <w:rPr>
                <w:sz w:val="20"/>
                <w:szCs w:val="20"/>
                <w:color w:val="auto"/>
              </w:rPr>
            </w:pPr>
            <w:r>
              <w:rPr>
                <w:rFonts w:ascii="Arial" w:cs="Arial" w:eastAsia="Arial" w:hAnsi="Arial"/>
                <w:sz w:val="18"/>
                <w:szCs w:val="18"/>
                <w:color w:val="auto"/>
              </w:rPr>
              <w:t>26,250</w:t>
            </w:r>
          </w:p>
        </w:tc>
        <w:tc>
          <w:tcPr>
            <w:tcW w:w="2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35.54</w:t>
            </w:r>
          </w:p>
        </w:tc>
        <w:tc>
          <w:tcPr>
            <w:tcW w:w="1540" w:type="dxa"/>
            <w:vAlign w:val="bottom"/>
          </w:tcPr>
          <w:p>
            <w:pPr>
              <w:jc w:val="right"/>
              <w:spacing w:after="0"/>
              <w:rPr>
                <w:sz w:val="20"/>
                <w:szCs w:val="20"/>
                <w:color w:val="auto"/>
              </w:rPr>
            </w:pPr>
            <w:r>
              <w:rPr>
                <w:rFonts w:ascii="Arial" w:cs="Arial" w:eastAsia="Arial" w:hAnsi="Arial"/>
                <w:sz w:val="18"/>
                <w:szCs w:val="18"/>
                <w:color w:val="auto"/>
              </w:rPr>
              <w:t>0.45</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26,250</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35.54</w:t>
            </w:r>
          </w:p>
        </w:tc>
        <w:tc>
          <w:tcPr>
            <w:tcW w:w="80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6,019,972</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4.42</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2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5,269,969</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800" w:type="dxa"/>
            <w:vAlign w:val="bottom"/>
          </w:tcPr>
          <w:p>
            <w:pPr>
              <w:spacing w:after="0"/>
              <w:rPr>
                <w:sz w:val="18"/>
                <w:szCs w:val="18"/>
                <w:color w:val="auto"/>
              </w:rPr>
            </w:pPr>
          </w:p>
        </w:tc>
      </w:tr>
      <w:tr>
        <w:trPr>
          <w:trHeight w:val="21"/>
        </w:trPr>
        <w:tc>
          <w:tcPr>
            <w:tcW w:w="5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696"/>
        </w:trPr>
        <w:tc>
          <w:tcPr>
            <w:tcW w:w="5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gridSpan w:val="2"/>
          </w:tcPr>
          <w:p>
            <w:pPr>
              <w:jc w:val="right"/>
              <w:ind w:right="690"/>
              <w:spacing w:after="0"/>
              <w:rPr>
                <w:sz w:val="20"/>
                <w:szCs w:val="20"/>
                <w:color w:val="auto"/>
              </w:rPr>
            </w:pPr>
            <w:r>
              <w:rPr>
                <w:rFonts w:ascii="Arial" w:cs="Arial" w:eastAsia="Arial" w:hAnsi="Arial"/>
                <w:sz w:val="18"/>
                <w:szCs w:val="18"/>
                <w:color w:val="auto"/>
              </w:rPr>
              <w:t>47</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18"/>
        </w:trPr>
        <w:tc>
          <w:tcPr>
            <w:tcW w:w="580" w:type="dxa"/>
            <w:vAlign w:val="bottom"/>
            <w:tcBorders>
              <w:bottom w:val="single" w:sz="8" w:color="808080"/>
            </w:tcBorders>
          </w:tcPr>
          <w:p>
            <w:pPr>
              <w:spacing w:after="0"/>
              <w:rPr>
                <w:sz w:val="10"/>
                <w:szCs w:val="10"/>
                <w:color w:val="auto"/>
              </w:rPr>
            </w:pPr>
          </w:p>
        </w:tc>
        <w:tc>
          <w:tcPr>
            <w:tcW w:w="35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07" w:right="219" w:bottom="1440" w:gutter="0" w:footer="0" w:header="0"/>
        </w:sectPr>
      </w:pPr>
    </w:p>
    <w:bookmarkStart w:id="47" w:name="page48"/>
    <w:bookmarkEnd w:id="47"/>
    <w:p>
      <w:pPr>
        <w:jc w:val="center"/>
        <w:ind w:right="480"/>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2009, unrecognized compensation expense related to non-vested stock options was approximately $1.6 million, which is expected to be recognized over a weighted average period of 1.5 years.</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initiated an employee option exchange program on December 14, 2009, which provided eligible rank and file employees the right to exchange eligible options outstanding for shares of unrestricted stock. There were a total of 1,129,555 options eligible for exchange into 247,137 shares of unrestricted stock. Exchange ratios for each eligible grant were determined using the fair values of options and Aware’s common stock immediately prior to the initiation of the program. Under the terms of the program employees had until January 12, 2010 to tender their options. Upon consummation of the program in 2010, eligible employees exchanged 820,481 options for 178,314 shares of unrestricted stock.</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issue common stock from previously authorized but unissued shares to satisfy option exercises and purchases under our Employee Stock Purchase Plan.</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Employee Stock Purchase Plan </w:t>
      </w:r>
      <w:r>
        <w:rPr>
          <w:rFonts w:ascii="Arial" w:cs="Arial" w:eastAsia="Arial" w:hAnsi="Arial"/>
          <w:sz w:val="17"/>
          <w:szCs w:val="17"/>
          <w:color w:val="auto"/>
        </w:rPr>
        <w:t>- In June 1996, we adopted an Employee Stock Purchase Plan (the “ESPP Plan”) under which eligible employees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could purchase common stock at a price equal to 85% of the lower of the fair market value of the common stock at the beginning or end of each six-month offering period. On November 29, 2005 we amended the ESPP Plan to provide that eligible employees may purchase common stock at a price equal to 95% of the fair market value of the common stock as of the end of each six-month offering period. There is no stock-based compensation expense related to our Employee Stock Purchase Plan because it is not considered a compensatory plan. The plan does not have a look-back feature, and has a minimal discount of 5% of the fair market value of the common stock as of the end of each six-month offering period. Participation in the ESPP Plan is limited to 6% of an employee’s compensation, may be terminated at any time by the employee and automatically ends on termination of employment. A total of 350,000 shares of common stock have been reserved for issuance. As of December 31, 2009 there were 129,484 shares available for future issuance under the ESPP Plan. We issued 3,176, 2,362, and 2,465 common shares under the ESPP Plan in 2009, 2008, and 2007, respectively.</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Stockholder Rights Plan </w:t>
      </w:r>
      <w:r>
        <w:rPr>
          <w:rFonts w:ascii="Arial" w:cs="Arial" w:eastAsia="Arial" w:hAnsi="Arial"/>
          <w:sz w:val="18"/>
          <w:szCs w:val="18"/>
          <w:color w:val="auto"/>
        </w:rPr>
        <w:t>- In October 2001, our board of directors adopted a stockholder rights plan and declared a dividend distribution of one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 right (a “Right”) for each outstanding share of our common stock to stockholders of record at the close of business on October 15, 2001. Each share of common stock issued after that date also will carry with it one Right, subject to certain exceptions. Each Right, when it becomes exercisable, will entitle the record holder to purchase from us one ten-thousandth of a share of series A preferred stock at an exercise price of $40.00 subject to adjustment.</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Rights become exercisable upon the earliest of the following dates: (i) the date on which we first publicly announce that a person or group has become an acquiring person, or (ii) the date, if any, that our board of directors may designate following the commencement of, or first public disclosure of an intent to commence, a tender or exchange offer which could result in the potential buyer becoming a beneficial owner of 15% or more of our outstanding common stock. Under these circumstances, holders of Rights will be entitled to purchase, for the exercise price, the preferred stock equivalent of common stock having a market value of two times the exercise price. The Rights expire on October 2, 2011, and may be redeemed by us for $.001 per Right.</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6, 2007, our Board of Directors determined that it would be advisable to amend the Rights Agreement to exempt John B. Stafford, Jr., John S. Stafford, III, and James M. Stafford and their respective affiliates from the definition of “Acquiring Person” in the Rights Agreement. Accordingly, on September 6, 2007, we executed Amendment No.1 to the Rights Agreement with Computershare Trust Company, N.A. as successor rights agent to implement this amendment.</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Share Repurchase Program - </w:t>
      </w:r>
      <w:r>
        <w:rPr>
          <w:rFonts w:ascii="Arial" w:cs="Arial" w:eastAsia="Arial" w:hAnsi="Arial"/>
          <w:sz w:val="18"/>
          <w:szCs w:val="18"/>
          <w:color w:val="auto"/>
        </w:rPr>
        <w:t>On August 28, 2007, we announced a stock repurchase program to purchase up to $5.0 million of our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market conditions and other factors. Any purchases under our stock repurchase program may be made from time to time without prior notice. On October 29, 2008, we announced that the program had been amended to increase the total amount of common stock that may be repurchased from $5.0 million to $10.0 million and to extend the period of time that shares may be repurchased from December 31, 2008 to December 31, 2009. As of December 31, 2009, we had repurchased 721,131 shares of common stock at a total cost of $2.4 million under this program. The repurchase program ended on December 31, 2009.</w:t>
      </w:r>
    </w:p>
    <w:p>
      <w:pPr>
        <w:spacing w:after="0" w:line="200" w:lineRule="exact"/>
        <w:rPr>
          <w:sz w:val="20"/>
          <w:szCs w:val="20"/>
          <w:color w:val="auto"/>
        </w:rPr>
      </w:pPr>
    </w:p>
    <w:p>
      <w:pPr>
        <w:spacing w:after="0" w:line="236"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6757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920"/>
          </w:cols>
          <w:pgMar w:left="740" w:top="607" w:right="239" w:bottom="1440" w:gutter="0" w:footer="0" w:header="0"/>
        </w:sectPr>
      </w:pPr>
    </w:p>
    <w:bookmarkStart w:id="48" w:name="page49"/>
    <w:bookmarkEnd w:id="48"/>
    <w:p>
      <w:pPr>
        <w:jc w:val="center"/>
        <w:ind w:right="20"/>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ind w:left="500" w:right="20"/>
        <w:spacing w:after="0" w:line="259" w:lineRule="auto"/>
        <w:rPr>
          <w:sz w:val="20"/>
          <w:szCs w:val="20"/>
          <w:color w:val="auto"/>
        </w:rPr>
      </w:pPr>
      <w:r>
        <w:rPr>
          <w:rFonts w:ascii="Arial" w:cs="Arial" w:eastAsia="Arial" w:hAnsi="Arial"/>
          <w:sz w:val="18"/>
          <w:szCs w:val="18"/>
          <w:color w:val="auto"/>
        </w:rPr>
        <w:t>On March 5, 2009, we announced a modified Dutch auction self-tender offer to purchase up to 3,500,000 shares, or approximately 15%, of our outstanding common stock (including the associated preferred share purchase rights), at a price in the range of $2.20 to $2.60 per share, for a maximum aggregate purchase price of approximately $9.1 million. The terms of the tender offer also provided the right for us to purchase up to an additional 2% of our shares if the offer was oversubscribed.</w:t>
      </w:r>
    </w:p>
    <w:p>
      <w:pPr>
        <w:spacing w:after="0" w:line="214" w:lineRule="exact"/>
        <w:rPr>
          <w:sz w:val="20"/>
          <w:szCs w:val="20"/>
          <w:color w:val="auto"/>
        </w:rPr>
      </w:pPr>
    </w:p>
    <w:p>
      <w:pPr>
        <w:jc w:val="both"/>
        <w:ind w:left="500" w:right="20"/>
        <w:spacing w:after="0" w:line="277" w:lineRule="auto"/>
        <w:rPr>
          <w:sz w:val="20"/>
          <w:szCs w:val="20"/>
          <w:color w:val="auto"/>
        </w:rPr>
      </w:pPr>
      <w:r>
        <w:rPr>
          <w:rFonts w:ascii="Arial" w:cs="Arial" w:eastAsia="Arial" w:hAnsi="Arial"/>
          <w:sz w:val="18"/>
          <w:szCs w:val="18"/>
          <w:color w:val="auto"/>
        </w:rPr>
        <w:t>The tender offer closed on April 17, 2009, and on April 23, 2009 we repurchased 3,500,252 shares at $2.50 per share for a total cost of $9.0 million, including expenses.</w:t>
      </w:r>
    </w:p>
    <w:p>
      <w:pPr>
        <w:spacing w:after="0" w:line="193"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w:t>
      </w:r>
    </w:p>
    <w:p>
      <w:pPr>
        <w:spacing w:after="0" w:line="256" w:lineRule="exact"/>
        <w:rPr>
          <w:sz w:val="20"/>
          <w:szCs w:val="20"/>
          <w:color w:val="auto"/>
        </w:rPr>
      </w:pPr>
    </w:p>
    <w:p>
      <w:pPr>
        <w:jc w:val="both"/>
        <w:ind w:left="500" w:right="20"/>
        <w:spacing w:after="0" w:line="264" w:lineRule="auto"/>
        <w:rPr>
          <w:sz w:val="20"/>
          <w:szCs w:val="20"/>
          <w:color w:val="auto"/>
        </w:rPr>
      </w:pPr>
      <w:r>
        <w:rPr>
          <w:rFonts w:ascii="Arial" w:cs="Arial" w:eastAsia="Arial" w:hAnsi="Arial"/>
          <w:sz w:val="18"/>
          <w:szCs w:val="18"/>
          <w:b w:val="1"/>
          <w:bCs w:val="1"/>
          <w:i w:val="1"/>
          <w:iCs w:val="1"/>
          <w:color w:val="auto"/>
        </w:rPr>
        <w:t xml:space="preserve">Lease Commitments </w:t>
      </w:r>
      <w:r>
        <w:rPr>
          <w:rFonts w:ascii="Arial" w:cs="Arial" w:eastAsia="Arial" w:hAnsi="Arial"/>
          <w:sz w:val="18"/>
          <w:szCs w:val="18"/>
          <w:color w:val="auto"/>
        </w:rPr>
        <w:t>– We own our principal office and research facility in Bedford, Massachusetts, which we have occupied since November 1997.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conduct a portion of our activities in a leased facility in California under a non-cancelable operating lease that expires in 2010. The future minimum rental payments on this lease in 2010 are $9,000.</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Rental expense was approximately $13,000, $21,000, and $34,000 in 2009, 2008 and 2007, respectively.</w:t>
      </w:r>
    </w:p>
    <w:p>
      <w:pPr>
        <w:spacing w:after="0" w:line="252" w:lineRule="exact"/>
        <w:rPr>
          <w:sz w:val="20"/>
          <w:szCs w:val="20"/>
          <w:color w:val="auto"/>
        </w:rPr>
      </w:pPr>
    </w:p>
    <w:p>
      <w:pPr>
        <w:jc w:val="both"/>
        <w:ind w:left="500" w:right="40"/>
        <w:spacing w:after="0" w:line="308" w:lineRule="auto"/>
        <w:rPr>
          <w:sz w:val="20"/>
          <w:szCs w:val="20"/>
          <w:color w:val="auto"/>
        </w:rPr>
      </w:pPr>
      <w:r>
        <w:rPr>
          <w:rFonts w:ascii="Arial" w:cs="Arial" w:eastAsia="Arial" w:hAnsi="Arial"/>
          <w:sz w:val="17"/>
          <w:szCs w:val="17"/>
          <w:b w:val="1"/>
          <w:bCs w:val="1"/>
          <w:i w:val="1"/>
          <w:iCs w:val="1"/>
          <w:color w:val="auto"/>
        </w:rPr>
        <w:t xml:space="preserve">Litigation </w:t>
      </w:r>
      <w:r>
        <w:rPr>
          <w:rFonts w:ascii="Arial" w:cs="Arial" w:eastAsia="Arial" w:hAnsi="Arial"/>
          <w:sz w:val="17"/>
          <w:szCs w:val="17"/>
          <w:color w:val="auto"/>
        </w:rPr>
        <w:t>- There are no material pending legal proceedings to which we are a party or to which any of our properties are subject which, either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individually or in the aggregate, are expected to have a material adverse effect on our business, financial position or results of operations.</w:t>
      </w:r>
    </w:p>
    <w:p>
      <w:pPr>
        <w:spacing w:after="0" w:line="174" w:lineRule="exact"/>
        <w:rPr>
          <w:sz w:val="20"/>
          <w:szCs w:val="20"/>
          <w:color w:val="auto"/>
        </w:rPr>
      </w:pPr>
    </w:p>
    <w:p>
      <w:pPr>
        <w:jc w:val="both"/>
        <w:ind w:left="500" w:right="20"/>
        <w:spacing w:after="0" w:line="255" w:lineRule="auto"/>
        <w:rPr>
          <w:sz w:val="20"/>
          <w:szCs w:val="20"/>
          <w:color w:val="auto"/>
        </w:rPr>
      </w:pPr>
      <w:r>
        <w:rPr>
          <w:rFonts w:ascii="Arial" w:cs="Arial" w:eastAsia="Arial" w:hAnsi="Arial"/>
          <w:sz w:val="18"/>
          <w:szCs w:val="18"/>
          <w:b w:val="1"/>
          <w:bCs w:val="1"/>
          <w:i w:val="1"/>
          <w:iCs w:val="1"/>
          <w:color w:val="auto"/>
        </w:rPr>
        <w:t xml:space="preserve">Guarantees and Indemnification Obligations </w:t>
      </w:r>
      <w:r>
        <w:rPr>
          <w:rFonts w:ascii="Arial" w:cs="Arial" w:eastAsia="Arial" w:hAnsi="Arial"/>
          <w:sz w:val="18"/>
          <w:szCs w:val="18"/>
          <w:color w:val="auto"/>
        </w:rPr>
        <w:t>– We enter into agreements in the ordinary course of business that require us: i) to perform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 of the contracts, ii) to protect the confidentiality of our customers’ intellectual property, and iii) to indemnify customers, including indemnification against third party claims alleging infringement of intellectual property rights. We also have agreements with each of our directors and executive officers to indemnify such directors or executive officers, to the extent legally permissible, against all liabilities reasonably incurred in connection with any action in which such individual may be involved by reason of such individual being or having been a director or officer of the Company.</w:t>
      </w:r>
    </w:p>
    <w:p>
      <w:pPr>
        <w:spacing w:after="0" w:line="220" w:lineRule="exact"/>
        <w:rPr>
          <w:sz w:val="20"/>
          <w:szCs w:val="20"/>
          <w:color w:val="auto"/>
        </w:rPr>
      </w:pPr>
    </w:p>
    <w:p>
      <w:pPr>
        <w:jc w:val="both"/>
        <w:ind w:left="500" w:right="20"/>
        <w:spacing w:after="0" w:line="286" w:lineRule="auto"/>
        <w:rPr>
          <w:sz w:val="20"/>
          <w:szCs w:val="20"/>
          <w:color w:val="auto"/>
        </w:rPr>
      </w:pPr>
      <w:r>
        <w:rPr>
          <w:rFonts w:ascii="Arial" w:cs="Arial" w:eastAsia="Arial" w:hAnsi="Arial"/>
          <w:sz w:val="17"/>
          <w:szCs w:val="17"/>
          <w:color w:val="auto"/>
        </w:rPr>
        <w:t>Given the nature of the above obligations and agreements, we are unable to make a reasonable estimate of the maximum potential amount that we could be required to pay. Historically, we have not made any significant payments on the above guarantees and indemnifications and no amount has been accrued in the accompanying consolidated financial statements with respect to these guarantees and indemnifications.</w:t>
      </w:r>
    </w:p>
    <w:p>
      <w:pPr>
        <w:spacing w:after="0" w:line="189"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 AND MAJOR CUSTOMERS</w:t>
      </w:r>
    </w:p>
    <w:p>
      <w:pPr>
        <w:spacing w:after="0" w:line="256" w:lineRule="exact"/>
        <w:rPr>
          <w:sz w:val="20"/>
          <w:szCs w:val="20"/>
          <w:color w:val="auto"/>
        </w:rPr>
      </w:pPr>
    </w:p>
    <w:p>
      <w:pPr>
        <w:ind w:left="500" w:right="680"/>
        <w:spacing w:after="0" w:line="277" w:lineRule="auto"/>
        <w:rPr>
          <w:sz w:val="20"/>
          <w:szCs w:val="20"/>
          <w:color w:val="auto"/>
        </w:rPr>
      </w:pPr>
      <w:r>
        <w:rPr>
          <w:rFonts w:ascii="Arial" w:cs="Arial" w:eastAsia="Arial" w:hAnsi="Arial"/>
          <w:sz w:val="18"/>
          <w:szCs w:val="18"/>
          <w:color w:val="auto"/>
        </w:rPr>
        <w:t>We manage the business as one segment and conduct our operations in the United States. We sell our products and technology to domestic and international customers. Revenues were generated from the following geographic regions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Year ended December 31,</w:t>
            </w:r>
          </w:p>
        </w:tc>
        <w:tc>
          <w:tcPr>
            <w:tcW w:w="540" w:type="dxa"/>
            <w:vAlign w:val="bottom"/>
            <w:tcBorders>
              <w:bottom w:val="single" w:sz="8" w:color="auto"/>
            </w:tcBorders>
          </w:tcPr>
          <w:p>
            <w:pPr>
              <w:spacing w:after="0"/>
              <w:rPr>
                <w:sz w:val="20"/>
                <w:szCs w:val="20"/>
                <w:color w:val="auto"/>
              </w:rPr>
            </w:pPr>
          </w:p>
        </w:tc>
        <w:tc>
          <w:tcPr>
            <w:tcW w:w="4240" w:type="dxa"/>
            <w:vAlign w:val="bottom"/>
          </w:tcPr>
          <w:p>
            <w:pPr>
              <w:spacing w:after="0"/>
              <w:rPr>
                <w:sz w:val="20"/>
                <w:szCs w:val="20"/>
                <w:color w:val="auto"/>
              </w:rPr>
            </w:pPr>
          </w:p>
        </w:tc>
      </w:tr>
      <w:tr>
        <w:trPr>
          <w:trHeight w:val="223"/>
        </w:trPr>
        <w:tc>
          <w:tcPr>
            <w:tcW w:w="4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2008</w:t>
            </w:r>
          </w:p>
        </w:tc>
        <w:tc>
          <w:tcPr>
            <w:tcW w:w="3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2007</w:t>
            </w:r>
          </w:p>
        </w:tc>
        <w:tc>
          <w:tcPr>
            <w:tcW w:w="4240" w:type="dxa"/>
            <w:vAlign w:val="bottom"/>
          </w:tcPr>
          <w:p>
            <w:pPr>
              <w:spacing w:after="0"/>
              <w:rPr>
                <w:sz w:val="19"/>
                <w:szCs w:val="19"/>
                <w:color w:val="auto"/>
              </w:rPr>
            </w:pPr>
          </w:p>
        </w:tc>
      </w:tr>
      <w:tr>
        <w:trPr>
          <w:trHeight w:val="202"/>
        </w:trPr>
        <w:tc>
          <w:tcPr>
            <w:tcW w:w="4180" w:type="dxa"/>
            <w:vAlign w:val="bottom"/>
          </w:tcPr>
          <w:p>
            <w:pPr>
              <w:ind w:left="440"/>
              <w:spacing w:after="0" w:line="201" w:lineRule="exact"/>
              <w:rPr>
                <w:sz w:val="20"/>
                <w:szCs w:val="20"/>
                <w:color w:val="auto"/>
              </w:rPr>
            </w:pPr>
            <w:r>
              <w:rPr>
                <w:rFonts w:ascii="Arial" w:cs="Arial" w:eastAsia="Arial" w:hAnsi="Arial"/>
                <w:sz w:val="18"/>
                <w:szCs w:val="18"/>
                <w:color w:val="auto"/>
              </w:rPr>
              <w:t>United States</w:t>
            </w:r>
          </w:p>
        </w:tc>
        <w:tc>
          <w:tcPr>
            <w:tcW w:w="220" w:type="dxa"/>
            <w:vAlign w:val="bottom"/>
            <w:tcBorders>
              <w:top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12,235</w:t>
            </w:r>
          </w:p>
        </w:tc>
        <w:tc>
          <w:tcPr>
            <w:tcW w:w="180" w:type="dxa"/>
            <w:vAlign w:val="bottom"/>
          </w:tcPr>
          <w:p>
            <w:pPr>
              <w:spacing w:after="0"/>
              <w:rPr>
                <w:sz w:val="17"/>
                <w:szCs w:val="17"/>
                <w:color w:val="auto"/>
              </w:rPr>
            </w:pPr>
          </w:p>
        </w:tc>
        <w:tc>
          <w:tcPr>
            <w:tcW w:w="24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24,070</w:t>
            </w:r>
          </w:p>
        </w:tc>
        <w:tc>
          <w:tcPr>
            <w:tcW w:w="220" w:type="dxa"/>
            <w:vAlign w:val="bottom"/>
          </w:tcPr>
          <w:p>
            <w:pPr>
              <w:spacing w:after="0"/>
              <w:rPr>
                <w:sz w:val="17"/>
                <w:szCs w:val="17"/>
                <w:color w:val="auto"/>
              </w:rPr>
            </w:pPr>
          </w:p>
        </w:tc>
        <w:tc>
          <w:tcPr>
            <w:tcW w:w="340" w:type="dxa"/>
            <w:vAlign w:val="bottom"/>
            <w:tcBorders>
              <w:top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4"/>
              </w:rPr>
              <w:t>15,508</w:t>
            </w:r>
          </w:p>
        </w:tc>
        <w:tc>
          <w:tcPr>
            <w:tcW w:w="4240" w:type="dxa"/>
            <w:vAlign w:val="bottom"/>
          </w:tcPr>
          <w:p>
            <w:pPr>
              <w:spacing w:after="0"/>
              <w:rPr>
                <w:sz w:val="17"/>
                <w:szCs w:val="17"/>
                <w:color w:val="auto"/>
              </w:rPr>
            </w:pPr>
          </w:p>
        </w:tc>
      </w:tr>
      <w:tr>
        <w:trPr>
          <w:trHeight w:val="216"/>
        </w:trPr>
        <w:tc>
          <w:tcPr>
            <w:tcW w:w="4180" w:type="dxa"/>
            <w:vAlign w:val="bottom"/>
          </w:tcPr>
          <w:p>
            <w:pPr>
              <w:ind w:left="440"/>
              <w:spacing w:after="0"/>
              <w:rPr>
                <w:sz w:val="20"/>
                <w:szCs w:val="20"/>
                <w:color w:val="auto"/>
              </w:rPr>
            </w:pPr>
            <w:r>
              <w:rPr>
                <w:rFonts w:ascii="Arial" w:cs="Arial" w:eastAsia="Arial" w:hAnsi="Arial"/>
                <w:sz w:val="18"/>
                <w:szCs w:val="18"/>
                <w:color w:val="auto"/>
              </w:rPr>
              <w:t>Germany</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5,375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4,881</w:t>
            </w: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5,759</w:t>
            </w:r>
          </w:p>
        </w:tc>
        <w:tc>
          <w:tcPr>
            <w:tcW w:w="4240" w:type="dxa"/>
            <w:vAlign w:val="bottom"/>
          </w:tcPr>
          <w:p>
            <w:pPr>
              <w:spacing w:after="0"/>
              <w:rPr>
                <w:sz w:val="18"/>
                <w:szCs w:val="18"/>
                <w:color w:val="auto"/>
              </w:rPr>
            </w:pPr>
          </w:p>
        </w:tc>
      </w:tr>
      <w:tr>
        <w:trPr>
          <w:trHeight w:val="237"/>
        </w:trPr>
        <w:tc>
          <w:tcPr>
            <w:tcW w:w="4180" w:type="dxa"/>
            <w:vAlign w:val="bottom"/>
          </w:tcPr>
          <w:p>
            <w:pPr>
              <w:ind w:left="440"/>
              <w:spacing w:after="0"/>
              <w:rPr>
                <w:sz w:val="20"/>
                <w:szCs w:val="20"/>
                <w:color w:val="auto"/>
              </w:rPr>
            </w:pPr>
            <w:r>
              <w:rPr>
                <w:rFonts w:ascii="Arial" w:cs="Arial" w:eastAsia="Arial" w:hAnsi="Arial"/>
                <w:sz w:val="18"/>
                <w:szCs w:val="18"/>
                <w:color w:val="auto"/>
              </w:rPr>
              <w:t>Rest of world</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4,432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1,566</w:t>
            </w:r>
          </w:p>
        </w:tc>
        <w:tc>
          <w:tcPr>
            <w:tcW w:w="3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5,170</w:t>
            </w:r>
          </w:p>
        </w:tc>
        <w:tc>
          <w:tcPr>
            <w:tcW w:w="4240" w:type="dxa"/>
            <w:vAlign w:val="bottom"/>
          </w:tcPr>
          <w:p>
            <w:pPr>
              <w:spacing w:after="0"/>
              <w:rPr>
                <w:sz w:val="20"/>
                <w:szCs w:val="20"/>
                <w:color w:val="auto"/>
              </w:rPr>
            </w:pPr>
          </w:p>
        </w:tc>
      </w:tr>
      <w:tr>
        <w:trPr>
          <w:trHeight w:val="216"/>
        </w:trPr>
        <w:tc>
          <w:tcPr>
            <w:tcW w:w="4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22,042</w:t>
            </w:r>
          </w:p>
        </w:tc>
        <w:tc>
          <w:tcPr>
            <w:tcW w:w="1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30,517</w:t>
            </w:r>
          </w:p>
        </w:tc>
        <w:tc>
          <w:tcPr>
            <w:tcW w:w="2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26,437</w:t>
            </w:r>
          </w:p>
        </w:tc>
        <w:tc>
          <w:tcPr>
            <w:tcW w:w="4240" w:type="dxa"/>
            <w:vAlign w:val="bottom"/>
          </w:tcPr>
          <w:p>
            <w:pPr>
              <w:spacing w:after="0"/>
              <w:rPr>
                <w:sz w:val="18"/>
                <w:szCs w:val="18"/>
                <w:color w:val="auto"/>
              </w:rPr>
            </w:pPr>
          </w:p>
        </w:tc>
      </w:tr>
      <w:tr>
        <w:trPr>
          <w:trHeight w:val="21"/>
        </w:trPr>
        <w:tc>
          <w:tcPr>
            <w:tcW w:w="4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669"/>
        </w:trPr>
        <w:tc>
          <w:tcPr>
            <w:tcW w:w="4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118"/>
        </w:trPr>
        <w:tc>
          <w:tcPr>
            <w:tcW w:w="41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42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07" w:right="219" w:bottom="1440" w:gutter="0" w:footer="0" w:header="0"/>
        </w:sectPr>
      </w:pPr>
    </w:p>
    <w:bookmarkStart w:id="49" w:name="page50"/>
    <w:bookmarkEnd w:id="49"/>
    <w:p>
      <w:pPr>
        <w:jc w:val="center"/>
        <w:ind w:right="20"/>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portion of total revenue that was derived from major customers was as follows:</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3660" w:type="dxa"/>
            <w:vAlign w:val="bottom"/>
          </w:tcPr>
          <w:p>
            <w:pPr>
              <w:spacing w:after="0"/>
              <w:rPr>
                <w:sz w:val="20"/>
                <w:szCs w:val="20"/>
                <w:color w:val="auto"/>
              </w:rPr>
            </w:pPr>
          </w:p>
        </w:tc>
        <w:tc>
          <w:tcPr>
            <w:tcW w:w="2460" w:type="dxa"/>
            <w:vAlign w:val="bottom"/>
            <w:tcBorders>
              <w:bottom w:val="single" w:sz="8" w:color="auto"/>
            </w:tcBorders>
            <w:gridSpan w:val="5"/>
          </w:tcPr>
          <w:p>
            <w:pPr>
              <w:ind w:left="520"/>
              <w:spacing w:after="0"/>
              <w:rPr>
                <w:sz w:val="20"/>
                <w:szCs w:val="20"/>
                <w:color w:val="auto"/>
              </w:rPr>
            </w:pPr>
            <w:r>
              <w:rPr>
                <w:rFonts w:ascii="Arial" w:cs="Arial" w:eastAsia="Arial" w:hAnsi="Arial"/>
                <w:sz w:val="18"/>
                <w:szCs w:val="18"/>
                <w:color w:val="auto"/>
                <w:w w:val="90"/>
              </w:rPr>
              <w:t>Year ended December 31,</w:t>
            </w:r>
          </w:p>
        </w:tc>
        <w:tc>
          <w:tcPr>
            <w:tcW w:w="4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36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2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19"/>
                <w:szCs w:val="19"/>
                <w:color w:val="auto"/>
              </w:rPr>
            </w:pPr>
          </w:p>
        </w:tc>
      </w:tr>
      <w:tr>
        <w:trPr>
          <w:trHeight w:val="202"/>
        </w:trPr>
        <w:tc>
          <w:tcPr>
            <w:tcW w:w="3660" w:type="dxa"/>
            <w:vAlign w:val="bottom"/>
          </w:tcPr>
          <w:p>
            <w:pPr>
              <w:spacing w:after="0" w:line="201" w:lineRule="exact"/>
              <w:rPr>
                <w:sz w:val="20"/>
                <w:szCs w:val="20"/>
                <w:color w:val="auto"/>
              </w:rPr>
            </w:pPr>
            <w:r>
              <w:rPr>
                <w:rFonts w:ascii="Arial" w:cs="Arial" w:eastAsia="Arial" w:hAnsi="Arial"/>
                <w:sz w:val="18"/>
                <w:szCs w:val="18"/>
                <w:color w:val="auto"/>
              </w:rPr>
              <w:t>Customer A</w:t>
            </w:r>
          </w:p>
        </w:tc>
        <w:tc>
          <w:tcPr>
            <w:tcW w:w="10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19%</w:t>
            </w:r>
          </w:p>
        </w:tc>
        <w:tc>
          <w:tcPr>
            <w:tcW w:w="10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12%</w:t>
            </w:r>
          </w:p>
        </w:tc>
        <w:tc>
          <w:tcPr>
            <w:tcW w:w="300" w:type="dxa"/>
            <w:vAlign w:val="bottom"/>
          </w:tcPr>
          <w:p>
            <w:pPr>
              <w:spacing w:after="0"/>
              <w:rPr>
                <w:sz w:val="17"/>
                <w:szCs w:val="17"/>
                <w:color w:val="auto"/>
              </w:rPr>
            </w:pPr>
          </w:p>
        </w:tc>
        <w:tc>
          <w:tcPr>
            <w:tcW w:w="5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19%</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Customer B</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Customer C</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Customer D</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Customer E</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bl>
    <w:p>
      <w:pPr>
        <w:spacing w:after="0" w:line="225"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256" w:lineRule="exact"/>
        <w:rPr>
          <w:sz w:val="20"/>
          <w:szCs w:val="20"/>
          <w:color w:val="auto"/>
        </w:rPr>
      </w:pPr>
    </w:p>
    <w:p>
      <w:pPr>
        <w:jc w:val="both"/>
        <w:ind w:left="500" w:right="20"/>
        <w:spacing w:after="0" w:line="286" w:lineRule="auto"/>
        <w:rPr>
          <w:sz w:val="20"/>
          <w:szCs w:val="20"/>
          <w:color w:val="auto"/>
        </w:rPr>
      </w:pPr>
      <w:r>
        <w:rPr>
          <w:rFonts w:ascii="Arial" w:cs="Arial" w:eastAsia="Arial" w:hAnsi="Arial"/>
          <w:sz w:val="17"/>
          <w:szCs w:val="17"/>
          <w:color w:val="auto"/>
        </w:rPr>
        <w:t>In 1994, we established a qualified 401(k) Retirement Plan (the “Plan”) under which employees are allowed to contribute certain percentages of their pay, up to the maximum allowed under Section 401(k) of the Internal Revenue Code. Our contributions to the Plan are at the discretion of the Board of Directors. Our contributions were approximately $363,000, $326,000, and $297,000 in 2009, 2008 and 2007, respectively.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r>
              <w:rPr>
                <w:rFonts w:ascii="Arial" w:cs="Arial" w:eastAsia="Arial" w:hAnsi="Arial"/>
                <w:sz w:val="18"/>
                <w:szCs w:val="18"/>
                <w:b w:val="1"/>
                <w:bCs w:val="1"/>
                <w:color w:val="auto"/>
              </w:rPr>
              <w:t>11.   NET INCOME PER SHARE</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459"/>
        </w:trPr>
        <w:tc>
          <w:tcPr>
            <w:tcW w:w="7200" w:type="dxa"/>
            <w:vAlign w:val="bottom"/>
          </w:tcPr>
          <w:p>
            <w:pPr>
              <w:ind w:left="500"/>
              <w:spacing w:after="0"/>
              <w:rPr>
                <w:sz w:val="20"/>
                <w:szCs w:val="20"/>
                <w:color w:val="auto"/>
              </w:rPr>
            </w:pPr>
            <w:r>
              <w:rPr>
                <w:rFonts w:ascii="Arial" w:cs="Arial" w:eastAsia="Arial" w:hAnsi="Arial"/>
                <w:sz w:val="18"/>
                <w:szCs w:val="18"/>
                <w:color w:val="auto"/>
                <w:w w:val="99"/>
              </w:rPr>
              <w:t>Net income per share is calculated as follows (in thousands, except per share data):</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66"/>
        </w:trPr>
        <w:tc>
          <w:tcPr>
            <w:tcW w:w="7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7"/>
          </w:tcPr>
          <w:p>
            <w:pPr>
              <w:jc w:val="right"/>
              <w:ind w:right="390"/>
              <w:spacing w:after="0"/>
              <w:rPr>
                <w:sz w:val="20"/>
                <w:szCs w:val="20"/>
                <w:color w:val="auto"/>
              </w:rPr>
            </w:pPr>
            <w:r>
              <w:rPr>
                <w:rFonts w:ascii="Arial" w:cs="Arial" w:eastAsia="Arial" w:hAnsi="Arial"/>
                <w:sz w:val="18"/>
                <w:szCs w:val="18"/>
                <w:color w:val="auto"/>
              </w:rPr>
              <w:t>Year ended December 31,</w:t>
            </w:r>
          </w:p>
        </w:tc>
      </w:tr>
      <w:tr>
        <w:trPr>
          <w:trHeight w:val="223"/>
        </w:trPr>
        <w:tc>
          <w:tcPr>
            <w:tcW w:w="7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2008</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2007</w:t>
            </w:r>
          </w:p>
        </w:tc>
      </w:tr>
      <w:tr>
        <w:trPr>
          <w:trHeight w:val="432"/>
        </w:trPr>
        <w:tc>
          <w:tcPr>
            <w:tcW w:w="7200" w:type="dxa"/>
            <w:vAlign w:val="bottom"/>
          </w:tcPr>
          <w:p>
            <w:pPr>
              <w:ind w:left="580"/>
              <w:spacing w:after="0"/>
              <w:rPr>
                <w:sz w:val="20"/>
                <w:szCs w:val="20"/>
                <w:color w:val="auto"/>
              </w:rPr>
            </w:pPr>
            <w:r>
              <w:rPr>
                <w:rFonts w:ascii="Arial" w:cs="Arial" w:eastAsia="Arial" w:hAnsi="Arial"/>
                <w:sz w:val="18"/>
                <w:szCs w:val="18"/>
                <w:color w:val="auto"/>
              </w:rPr>
              <w:t>Net income</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982</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1,776</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418"/>
        </w:trPr>
        <w:tc>
          <w:tcPr>
            <w:tcW w:w="7200" w:type="dxa"/>
            <w:vAlign w:val="bottom"/>
          </w:tcPr>
          <w:p>
            <w:pPr>
              <w:ind w:left="580"/>
              <w:spacing w:after="0"/>
              <w:rPr>
                <w:sz w:val="20"/>
                <w:szCs w:val="20"/>
                <w:color w:val="auto"/>
              </w:rPr>
            </w:pPr>
            <w:r>
              <w:rPr>
                <w:rFonts w:ascii="Arial" w:cs="Arial" w:eastAsia="Arial" w:hAnsi="Arial"/>
                <w:sz w:val="18"/>
                <w:szCs w:val="18"/>
                <w:color w:val="auto"/>
              </w:rPr>
              <w:t>Weighted average common shares outstanding</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20,869</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23,638</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23,738</w:t>
            </w:r>
          </w:p>
        </w:tc>
      </w:tr>
      <w:tr>
        <w:trPr>
          <w:trHeight w:val="237"/>
        </w:trPr>
        <w:tc>
          <w:tcPr>
            <w:tcW w:w="7200" w:type="dxa"/>
            <w:vAlign w:val="bottom"/>
          </w:tcPr>
          <w:p>
            <w:pPr>
              <w:ind w:left="580"/>
              <w:spacing w:after="0"/>
              <w:rPr>
                <w:sz w:val="20"/>
                <w:szCs w:val="20"/>
                <w:color w:val="auto"/>
              </w:rPr>
            </w:pPr>
            <w:r>
              <w:rPr>
                <w:rFonts w:ascii="Arial" w:cs="Arial" w:eastAsia="Arial" w:hAnsi="Arial"/>
                <w:sz w:val="18"/>
                <w:szCs w:val="18"/>
                <w:color w:val="auto"/>
              </w:rPr>
              <w:t>Additional dilutive common stock equivalents</w:t>
            </w:r>
          </w:p>
        </w:tc>
        <w:tc>
          <w:tcPr>
            <w:tcW w:w="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w:t>
            </w:r>
          </w:p>
        </w:tc>
      </w:tr>
      <w:tr>
        <w:trPr>
          <w:trHeight w:val="216"/>
        </w:trPr>
        <w:tc>
          <w:tcPr>
            <w:tcW w:w="7200" w:type="dxa"/>
            <w:vAlign w:val="bottom"/>
          </w:tcPr>
          <w:p>
            <w:pPr>
              <w:ind w:left="580"/>
              <w:spacing w:after="0"/>
              <w:rPr>
                <w:sz w:val="20"/>
                <w:szCs w:val="20"/>
                <w:color w:val="auto"/>
              </w:rPr>
            </w:pPr>
            <w:r>
              <w:rPr>
                <w:rFonts w:ascii="Arial" w:cs="Arial" w:eastAsia="Arial" w:hAnsi="Arial"/>
                <w:sz w:val="18"/>
                <w:szCs w:val="18"/>
                <w:color w:val="auto"/>
              </w:rPr>
              <w:t>Diluted shares outstanding</w:t>
            </w:r>
          </w:p>
        </w:tc>
        <w:tc>
          <w:tcPr>
            <w:tcW w:w="7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20,874</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23,697</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25,084</w:t>
            </w:r>
          </w:p>
        </w:tc>
      </w:tr>
      <w:tr>
        <w:trPr>
          <w:trHeight w:val="21"/>
        </w:trPr>
        <w:tc>
          <w:tcPr>
            <w:tcW w:w="7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411"/>
        </w:trPr>
        <w:tc>
          <w:tcPr>
            <w:tcW w:w="7200" w:type="dxa"/>
            <w:vAlign w:val="bottom"/>
          </w:tcPr>
          <w:p>
            <w:pPr>
              <w:ind w:left="580"/>
              <w:spacing w:after="0"/>
              <w:rPr>
                <w:sz w:val="20"/>
                <w:szCs w:val="20"/>
                <w:color w:val="auto"/>
              </w:rPr>
            </w:pPr>
            <w:r>
              <w:rPr>
                <w:rFonts w:ascii="Arial" w:cs="Arial" w:eastAsia="Arial" w:hAnsi="Arial"/>
                <w:sz w:val="18"/>
                <w:szCs w:val="18"/>
                <w:color w:val="auto"/>
              </w:rPr>
              <w:t>Net income per share – basic</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0.05</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0.08</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30"/>
        </w:trPr>
        <w:tc>
          <w:tcPr>
            <w:tcW w:w="7200" w:type="dxa"/>
            <w:vAlign w:val="bottom"/>
          </w:tcPr>
          <w:p>
            <w:pPr>
              <w:ind w:left="580"/>
              <w:spacing w:after="0"/>
              <w:rPr>
                <w:sz w:val="20"/>
                <w:szCs w:val="20"/>
                <w:color w:val="auto"/>
              </w:rPr>
            </w:pPr>
            <w:r>
              <w:rPr>
                <w:rFonts w:ascii="Arial" w:cs="Arial" w:eastAsia="Arial" w:hAnsi="Arial"/>
                <w:sz w:val="18"/>
                <w:szCs w:val="18"/>
                <w:color w:val="auto"/>
              </w:rPr>
              <w:t>Net income per share – diluted</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0.05</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0.07</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0.01</w:t>
            </w:r>
          </w:p>
        </w:tc>
      </w:tr>
    </w:tbl>
    <w:p>
      <w:pPr>
        <w:spacing w:after="0" w:line="229" w:lineRule="exact"/>
        <w:rPr>
          <w:sz w:val="20"/>
          <w:szCs w:val="20"/>
          <w:color w:val="auto"/>
        </w:rPr>
      </w:pPr>
    </w:p>
    <w:p>
      <w:pPr>
        <w:jc w:val="both"/>
        <w:ind w:left="500" w:right="20"/>
        <w:spacing w:after="0" w:line="312" w:lineRule="auto"/>
        <w:rPr>
          <w:sz w:val="20"/>
          <w:szCs w:val="20"/>
          <w:color w:val="auto"/>
        </w:rPr>
      </w:pPr>
      <w:r>
        <w:rPr>
          <w:rFonts w:ascii="Arial" w:cs="Arial" w:eastAsia="Arial" w:hAnsi="Arial"/>
          <w:sz w:val="16"/>
          <w:szCs w:val="16"/>
          <w:color w:val="auto"/>
        </w:rPr>
        <w:t>For the years ended December 31, 2009, 2008 and 2007, options to purchase 5,970,722, 6,739,957, and 2,471,025 shares of common stock at weighted average exercise prices of $4.44, $4.89, and $7.13 per share, respectively, were outstanding, but were not included in the computation of diluted EPS because the options’ exercise prices were greater than the average market price of the common shares and thus would be anti-dilutive.</w:t>
      </w:r>
    </w:p>
    <w:p>
      <w:pPr>
        <w:spacing w:after="0" w:line="170"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RESULTS OF OPERATIONS – UNAUDITED</w:t>
      </w:r>
    </w:p>
    <w:p>
      <w:pPr>
        <w:spacing w:after="0" w:line="256" w:lineRule="exact"/>
        <w:rPr>
          <w:sz w:val="20"/>
          <w:szCs w:val="20"/>
          <w:color w:val="auto"/>
        </w:rPr>
      </w:pPr>
    </w:p>
    <w:p>
      <w:pPr>
        <w:ind w:left="500" w:right="20"/>
        <w:spacing w:after="0" w:line="277" w:lineRule="auto"/>
        <w:rPr>
          <w:sz w:val="20"/>
          <w:szCs w:val="20"/>
          <w:color w:val="auto"/>
        </w:rPr>
      </w:pPr>
      <w:r>
        <w:rPr>
          <w:rFonts w:ascii="Arial" w:cs="Arial" w:eastAsia="Arial" w:hAnsi="Arial"/>
          <w:sz w:val="18"/>
          <w:szCs w:val="18"/>
          <w:color w:val="auto"/>
        </w:rPr>
        <w:t>The following table presents unaudited quarterly operating results for each of our quarters in the two-year period ended December 31, 2009 (in thousands, except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color w:val="auto"/>
                <w:w w:val="97"/>
              </w:rPr>
              <w:t>2009 Quarters Ended</w:t>
            </w:r>
          </w:p>
        </w:tc>
        <w:tc>
          <w:tcPr>
            <w:tcW w:w="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r>
      <w:tr>
        <w:trPr>
          <w:trHeight w:val="223"/>
        </w:trPr>
        <w:tc>
          <w:tcPr>
            <w:tcW w:w="43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3"/>
              </w:rPr>
              <w:t>March 31</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0"/>
              </w:rPr>
              <w:t>June 30</w:t>
            </w:r>
          </w:p>
        </w:tc>
        <w:tc>
          <w:tcPr>
            <w:tcW w:w="11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7"/>
              </w:rPr>
              <w:t>September 30</w:t>
            </w:r>
          </w:p>
        </w:tc>
        <w:tc>
          <w:tcPr>
            <w:tcW w:w="11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4"/>
              </w:rPr>
              <w:t>December 31</w:t>
            </w:r>
          </w:p>
        </w:tc>
        <w:tc>
          <w:tcPr>
            <w:tcW w:w="480" w:type="dxa"/>
            <w:vAlign w:val="bottom"/>
          </w:tcPr>
          <w:p>
            <w:pPr>
              <w:spacing w:after="0"/>
              <w:rPr>
                <w:sz w:val="19"/>
                <w:szCs w:val="19"/>
                <w:color w:val="auto"/>
              </w:rPr>
            </w:pPr>
          </w:p>
        </w:tc>
      </w:tr>
      <w:tr>
        <w:trPr>
          <w:trHeight w:val="418"/>
        </w:trPr>
        <w:tc>
          <w:tcPr>
            <w:tcW w:w="4380" w:type="dxa"/>
            <w:vAlign w:val="bottom"/>
          </w:tcPr>
          <w:p>
            <w:pPr>
              <w:ind w:left="460"/>
              <w:spacing w:after="0"/>
              <w:rPr>
                <w:sz w:val="20"/>
                <w:szCs w:val="20"/>
                <w:color w:val="auto"/>
              </w:rPr>
            </w:pPr>
            <w:r>
              <w:rPr>
                <w:rFonts w:ascii="Arial" w:cs="Arial" w:eastAsia="Arial" w:hAnsi="Arial"/>
                <w:sz w:val="18"/>
                <w:szCs w:val="18"/>
                <w:color w:val="auto"/>
              </w:rPr>
              <w:t>Revenue</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4,573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5,764</w:t>
            </w: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6,220</w:t>
            </w: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5,486</w:t>
            </w:r>
          </w:p>
        </w:tc>
        <w:tc>
          <w:tcPr>
            <w:tcW w:w="480" w:type="dxa"/>
            <w:vAlign w:val="bottom"/>
          </w:tcPr>
          <w:p>
            <w:pPr>
              <w:spacing w:after="0"/>
              <w:rPr>
                <w:sz w:val="24"/>
                <w:szCs w:val="24"/>
                <w:color w:val="auto"/>
              </w:rPr>
            </w:pPr>
          </w:p>
        </w:tc>
      </w:tr>
      <w:tr>
        <w:trPr>
          <w:trHeight w:val="216"/>
        </w:trPr>
        <w:tc>
          <w:tcPr>
            <w:tcW w:w="4380" w:type="dxa"/>
            <w:vAlign w:val="bottom"/>
          </w:tcPr>
          <w:p>
            <w:pPr>
              <w:ind w:left="460"/>
              <w:spacing w:after="0"/>
              <w:rPr>
                <w:sz w:val="20"/>
                <w:szCs w:val="20"/>
                <w:color w:val="auto"/>
              </w:rPr>
            </w:pPr>
            <w:r>
              <w:rPr>
                <w:rFonts w:ascii="Arial" w:cs="Arial" w:eastAsia="Arial" w:hAnsi="Arial"/>
                <w:sz w:val="18"/>
                <w:szCs w:val="18"/>
                <w:color w:val="auto"/>
              </w:rPr>
              <w:t>Gross profit</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3,152</w:t>
            </w: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3,812</w:t>
            </w:r>
          </w:p>
        </w:tc>
        <w:tc>
          <w:tcPr>
            <w:tcW w:w="38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4,646</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4,649</w:t>
            </w:r>
          </w:p>
        </w:tc>
        <w:tc>
          <w:tcPr>
            <w:tcW w:w="480" w:type="dxa"/>
            <w:vAlign w:val="bottom"/>
          </w:tcPr>
          <w:p>
            <w:pPr>
              <w:spacing w:after="0"/>
              <w:rPr>
                <w:sz w:val="18"/>
                <w:szCs w:val="18"/>
                <w:color w:val="auto"/>
              </w:rPr>
            </w:pPr>
          </w:p>
        </w:tc>
      </w:tr>
      <w:tr>
        <w:trPr>
          <w:trHeight w:val="216"/>
        </w:trPr>
        <w:tc>
          <w:tcPr>
            <w:tcW w:w="4380" w:type="dxa"/>
            <w:vAlign w:val="bottom"/>
          </w:tcPr>
          <w:p>
            <w:pPr>
              <w:ind w:left="460"/>
              <w:spacing w:after="0"/>
              <w:rPr>
                <w:sz w:val="20"/>
                <w:szCs w:val="20"/>
                <w:color w:val="auto"/>
              </w:rPr>
            </w:pPr>
            <w:r>
              <w:rPr>
                <w:rFonts w:ascii="Arial" w:cs="Arial" w:eastAsia="Arial" w:hAnsi="Arial"/>
                <w:sz w:val="18"/>
                <w:szCs w:val="18"/>
                <w:color w:val="auto"/>
              </w:rPr>
              <w:t>Loss from operations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(2,253)</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(1,646)</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(1,163)</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(419)</w:t>
            </w:r>
          </w:p>
        </w:tc>
        <w:tc>
          <w:tcPr>
            <w:tcW w:w="480" w:type="dxa"/>
            <w:vAlign w:val="bottom"/>
          </w:tcPr>
          <w:p>
            <w:pPr>
              <w:spacing w:after="0"/>
              <w:rPr>
                <w:sz w:val="18"/>
                <w:szCs w:val="18"/>
                <w:color w:val="auto"/>
              </w:rPr>
            </w:pPr>
          </w:p>
        </w:tc>
      </w:tr>
      <w:tr>
        <w:trPr>
          <w:trHeight w:val="216"/>
        </w:trPr>
        <w:tc>
          <w:tcPr>
            <w:tcW w:w="4380" w:type="dxa"/>
            <w:vAlign w:val="bottom"/>
          </w:tcPr>
          <w:p>
            <w:pPr>
              <w:ind w:left="460"/>
              <w:spacing w:after="0"/>
              <w:rPr>
                <w:sz w:val="20"/>
                <w:szCs w:val="20"/>
                <w:color w:val="auto"/>
              </w:rPr>
            </w:pPr>
            <w:r>
              <w:rPr>
                <w:rFonts w:ascii="Arial" w:cs="Arial" w:eastAsia="Arial" w:hAnsi="Arial"/>
                <w:sz w:val="18"/>
                <w:szCs w:val="18"/>
                <w:color w:val="auto"/>
              </w:rPr>
              <w:t>Gain on sale of assets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6,230</w:t>
            </w:r>
          </w:p>
        </w:tc>
        <w:tc>
          <w:tcPr>
            <w:tcW w:w="480" w:type="dxa"/>
            <w:vAlign w:val="bottom"/>
          </w:tcPr>
          <w:p>
            <w:pPr>
              <w:spacing w:after="0"/>
              <w:rPr>
                <w:sz w:val="18"/>
                <w:szCs w:val="18"/>
                <w:color w:val="auto"/>
              </w:rPr>
            </w:pPr>
          </w:p>
        </w:tc>
      </w:tr>
      <w:tr>
        <w:trPr>
          <w:trHeight w:val="230"/>
        </w:trPr>
        <w:tc>
          <w:tcPr>
            <w:tcW w:w="4380" w:type="dxa"/>
            <w:vAlign w:val="bottom"/>
          </w:tcPr>
          <w:p>
            <w:pPr>
              <w:ind w:left="460"/>
              <w:spacing w:after="0"/>
              <w:rPr>
                <w:sz w:val="20"/>
                <w:szCs w:val="20"/>
                <w:color w:val="auto"/>
              </w:rPr>
            </w:pPr>
            <w:r>
              <w:rPr>
                <w:rFonts w:ascii="Arial" w:cs="Arial" w:eastAsia="Arial" w:hAnsi="Arial"/>
                <w:sz w:val="18"/>
                <w:szCs w:val="18"/>
                <w:color w:val="auto"/>
              </w:rPr>
              <w:t>Net income (loss)</w:t>
            </w: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(2,131)</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(1,586)</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(1,133)</w:t>
            </w: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5,834</w:t>
            </w:r>
          </w:p>
        </w:tc>
        <w:tc>
          <w:tcPr>
            <w:tcW w:w="480" w:type="dxa"/>
            <w:vAlign w:val="bottom"/>
          </w:tcPr>
          <w:p>
            <w:pPr>
              <w:spacing w:after="0"/>
              <w:rPr>
                <w:sz w:val="20"/>
                <w:szCs w:val="20"/>
                <w:color w:val="auto"/>
              </w:rPr>
            </w:pPr>
          </w:p>
        </w:tc>
      </w:tr>
      <w:tr>
        <w:trPr>
          <w:trHeight w:val="418"/>
        </w:trPr>
        <w:tc>
          <w:tcPr>
            <w:tcW w:w="4380" w:type="dxa"/>
            <w:vAlign w:val="bottom"/>
          </w:tcPr>
          <w:p>
            <w:pPr>
              <w:ind w:left="460"/>
              <w:spacing w:after="0"/>
              <w:rPr>
                <w:sz w:val="20"/>
                <w:szCs w:val="20"/>
                <w:color w:val="auto"/>
              </w:rPr>
            </w:pPr>
            <w:r>
              <w:rPr>
                <w:rFonts w:ascii="Arial" w:cs="Arial" w:eastAsia="Arial" w:hAnsi="Arial"/>
                <w:sz w:val="18"/>
                <w:szCs w:val="18"/>
                <w:color w:val="auto"/>
              </w:rPr>
              <w:t>Net income (loss) per share – basic</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(0.08)</w:t>
            </w: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(0.06)</w:t>
            </w: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0.29</w:t>
            </w:r>
          </w:p>
        </w:tc>
        <w:tc>
          <w:tcPr>
            <w:tcW w:w="480" w:type="dxa"/>
            <w:vAlign w:val="bottom"/>
          </w:tcPr>
          <w:p>
            <w:pPr>
              <w:spacing w:after="0"/>
              <w:rPr>
                <w:sz w:val="24"/>
                <w:szCs w:val="24"/>
                <w:color w:val="auto"/>
              </w:rPr>
            </w:pPr>
          </w:p>
        </w:tc>
      </w:tr>
      <w:tr>
        <w:trPr>
          <w:trHeight w:val="230"/>
        </w:trPr>
        <w:tc>
          <w:tcPr>
            <w:tcW w:w="4380" w:type="dxa"/>
            <w:vAlign w:val="bottom"/>
          </w:tcPr>
          <w:p>
            <w:pPr>
              <w:ind w:left="460"/>
              <w:spacing w:after="0"/>
              <w:rPr>
                <w:sz w:val="20"/>
                <w:szCs w:val="20"/>
                <w:color w:val="auto"/>
              </w:rPr>
            </w:pPr>
            <w:r>
              <w:rPr>
                <w:rFonts w:ascii="Arial" w:cs="Arial" w:eastAsia="Arial" w:hAnsi="Arial"/>
                <w:sz w:val="18"/>
                <w:szCs w:val="18"/>
                <w:color w:val="auto"/>
              </w:rPr>
              <w:t>Net income (loss) per share – diluted</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(0.08)</w:t>
            </w: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(0.06)</w:t>
            </w: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0.29</w:t>
            </w:r>
          </w:p>
        </w:tc>
        <w:tc>
          <w:tcPr>
            <w:tcW w:w="480" w:type="dxa"/>
            <w:vAlign w:val="bottom"/>
          </w:tcPr>
          <w:p>
            <w:pPr>
              <w:spacing w:after="0"/>
              <w:rPr>
                <w:sz w:val="20"/>
                <w:szCs w:val="20"/>
                <w:color w:val="auto"/>
              </w:rPr>
            </w:pPr>
          </w:p>
        </w:tc>
      </w:tr>
      <w:tr>
        <w:trPr>
          <w:trHeight w:val="675"/>
        </w:trPr>
        <w:tc>
          <w:tcPr>
            <w:tcW w:w="4380" w:type="dxa"/>
            <w:vAlign w:val="bottom"/>
          </w:tcPr>
          <w:p>
            <w:pPr>
              <w:spacing w:after="0"/>
              <w:rPr>
                <w:sz w:val="24"/>
                <w:szCs w:val="24"/>
                <w:color w:val="auto"/>
              </w:rPr>
            </w:pPr>
          </w:p>
        </w:tc>
        <w:tc>
          <w:tcPr>
            <w:tcW w:w="2120" w:type="dxa"/>
            <w:vAlign w:val="bottom"/>
          </w:tcPr>
          <w:p>
            <w:pPr>
              <w:jc w:val="right"/>
              <w:ind w:right="6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18"/>
        </w:trPr>
        <w:tc>
          <w:tcPr>
            <w:tcW w:w="4380" w:type="dxa"/>
            <w:vAlign w:val="bottom"/>
            <w:tcBorders>
              <w:bottom w:val="single" w:sz="8" w:color="808080"/>
            </w:tcBorders>
          </w:tcPr>
          <w:p>
            <w:pPr>
              <w:spacing w:after="0"/>
              <w:rPr>
                <w:sz w:val="10"/>
                <w:szCs w:val="10"/>
                <w:color w:val="auto"/>
              </w:rPr>
            </w:pPr>
          </w:p>
        </w:tc>
        <w:tc>
          <w:tcPr>
            <w:tcW w:w="2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07" w:right="219" w:bottom="1440" w:gutter="0" w:footer="0" w:header="0"/>
        </w:sectPr>
      </w:pPr>
    </w:p>
    <w:bookmarkStart w:id="50" w:name="page51"/>
    <w:bookmarkEnd w:id="50"/>
    <w:p>
      <w:pPr>
        <w:jc w:val="center"/>
        <w:ind w:right="-11"/>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tbl>
      <w:tblPr>
        <w:tblLayout w:type="fixed"/>
        <w:tblInd w:w="452" w:type="dxa"/>
        <w:tblCellMar>
          <w:top w:w="0" w:type="dxa"/>
          <w:left w:w="0" w:type="dxa"/>
          <w:bottom w:w="0" w:type="dxa"/>
          <w:right w:w="0" w:type="dxa"/>
        </w:tblCellMar>
      </w:tblPr>
      <w:tr>
        <w:trPr>
          <w:trHeight w:val="237"/>
        </w:trPr>
        <w:tc>
          <w:tcPr>
            <w:tcW w:w="4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color w:val="auto"/>
              </w:rPr>
              <w:t>2008 Quarters Ended</w:t>
            </w: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223"/>
        </w:trPr>
        <w:tc>
          <w:tcPr>
            <w:tcW w:w="4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0"/>
              </w:rPr>
              <w:t>March 31</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0"/>
              </w:rPr>
              <w:t>June 30</w:t>
            </w:r>
          </w:p>
        </w:tc>
        <w:tc>
          <w:tcPr>
            <w:tcW w:w="12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5"/>
              </w:rPr>
              <w:t>September 30</w:t>
            </w:r>
          </w:p>
        </w:tc>
        <w:tc>
          <w:tcPr>
            <w:tcW w:w="12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December 31</w:t>
            </w:r>
          </w:p>
        </w:tc>
      </w:tr>
      <w:tr>
        <w:trPr>
          <w:trHeight w:val="202"/>
        </w:trPr>
        <w:tc>
          <w:tcPr>
            <w:tcW w:w="4300" w:type="dxa"/>
            <w:vAlign w:val="bottom"/>
          </w:tcPr>
          <w:p>
            <w:pPr>
              <w:spacing w:after="0" w:line="201" w:lineRule="exact"/>
              <w:rPr>
                <w:sz w:val="20"/>
                <w:szCs w:val="20"/>
                <w:color w:val="auto"/>
              </w:rPr>
            </w:pPr>
            <w:r>
              <w:rPr>
                <w:rFonts w:ascii="Arial" w:cs="Arial" w:eastAsia="Arial" w:hAnsi="Arial"/>
                <w:sz w:val="18"/>
                <w:szCs w:val="18"/>
                <w:color w:val="auto"/>
              </w:rPr>
              <w:t>Revenue</w:t>
            </w:r>
          </w:p>
        </w:tc>
        <w:tc>
          <w:tcPr>
            <w:tcW w:w="16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5,876</w:t>
            </w:r>
          </w:p>
        </w:tc>
        <w:tc>
          <w:tcPr>
            <w:tcW w:w="1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6,167</w:t>
            </w:r>
          </w:p>
        </w:tc>
        <w:tc>
          <w:tcPr>
            <w:tcW w:w="440" w:type="dxa"/>
            <w:vAlign w:val="bottom"/>
          </w:tcPr>
          <w:p>
            <w:pPr>
              <w:jc w:val="right"/>
              <w:ind w:right="190"/>
              <w:spacing w:after="0" w:line="201"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line="201" w:lineRule="exact"/>
              <w:rPr>
                <w:sz w:val="20"/>
                <w:szCs w:val="20"/>
                <w:color w:val="auto"/>
              </w:rPr>
            </w:pPr>
            <w:r>
              <w:rPr>
                <w:rFonts w:ascii="Arial" w:cs="Arial" w:eastAsia="Arial" w:hAnsi="Arial"/>
                <w:sz w:val="18"/>
                <w:szCs w:val="18"/>
                <w:color w:val="auto"/>
              </w:rPr>
              <w:t>6,390</w:t>
            </w:r>
          </w:p>
        </w:tc>
        <w:tc>
          <w:tcPr>
            <w:tcW w:w="420" w:type="dxa"/>
            <w:vAlign w:val="bottom"/>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12,084</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Gross profit</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4,034</w:t>
            </w:r>
          </w:p>
        </w:tc>
        <w:tc>
          <w:tcPr>
            <w:tcW w:w="1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4,414</w:t>
            </w:r>
          </w:p>
        </w:tc>
        <w:tc>
          <w:tcPr>
            <w:tcW w:w="44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4,497</w:t>
            </w:r>
          </w:p>
        </w:tc>
        <w:tc>
          <w:tcPr>
            <w:tcW w:w="4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10,803</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(1,656)</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(1,568)</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(904)</w:t>
            </w:r>
          </w:p>
        </w:tc>
        <w:tc>
          <w:tcPr>
            <w:tcW w:w="4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4,757</w:t>
            </w: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Net income (loss)</w:t>
            </w: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(1,282)</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(1,257)</w:t>
            </w: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(663)</w:t>
            </w:r>
          </w:p>
        </w:tc>
        <w:tc>
          <w:tcPr>
            <w:tcW w:w="42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4,978</w:t>
            </w:r>
          </w:p>
        </w:tc>
      </w:tr>
      <w:tr>
        <w:trPr>
          <w:trHeight w:val="418"/>
        </w:trPr>
        <w:tc>
          <w:tcPr>
            <w:tcW w:w="4300" w:type="dxa"/>
            <w:vAlign w:val="bottom"/>
          </w:tcPr>
          <w:p>
            <w:pPr>
              <w:spacing w:after="0"/>
              <w:rPr>
                <w:sz w:val="20"/>
                <w:szCs w:val="20"/>
                <w:color w:val="auto"/>
              </w:rPr>
            </w:pPr>
            <w:r>
              <w:rPr>
                <w:rFonts w:ascii="Arial" w:cs="Arial" w:eastAsia="Arial" w:hAnsi="Arial"/>
                <w:sz w:val="18"/>
                <w:szCs w:val="18"/>
                <w:color w:val="auto"/>
              </w:rPr>
              <w:t>Net income (loss) per share – basic</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(0.05)</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(0.03)</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0.21</w:t>
            </w: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Net income (loss) per share – diluted</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(0.05)</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(0.03)</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0.21</w:t>
            </w:r>
          </w:p>
        </w:tc>
      </w:tr>
    </w:tbl>
    <w:p>
      <w:pPr>
        <w:spacing w:after="0" w:line="229" w:lineRule="exact"/>
        <w:rPr>
          <w:sz w:val="20"/>
          <w:szCs w:val="20"/>
          <w:color w:val="auto"/>
        </w:rPr>
      </w:pPr>
    </w:p>
    <w:p>
      <w:pPr>
        <w:ind w:left="492"/>
        <w:spacing w:after="0"/>
        <w:rPr>
          <w:sz w:val="20"/>
          <w:szCs w:val="20"/>
          <w:color w:val="auto"/>
        </w:rPr>
      </w:pPr>
      <w:r>
        <w:rPr>
          <w:rFonts w:ascii="Arial" w:cs="Arial" w:eastAsia="Arial" w:hAnsi="Arial"/>
          <w:sz w:val="18"/>
          <w:szCs w:val="18"/>
          <w:color w:val="auto"/>
        </w:rPr>
        <w:t>Quarterly amounts may not sum to annual amounts due to rounding and dilution.</w:t>
      </w:r>
    </w:p>
    <w:p>
      <w:pPr>
        <w:spacing w:after="0" w:line="221" w:lineRule="exact"/>
        <w:rPr>
          <w:sz w:val="20"/>
          <w:szCs w:val="20"/>
          <w:color w:val="auto"/>
        </w:rPr>
      </w:pPr>
    </w:p>
    <w:p>
      <w:pPr>
        <w:ind w:left="452" w:hanging="452"/>
        <w:spacing w:after="0"/>
        <w:tabs>
          <w:tab w:leader="none" w:pos="452"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56" w:lineRule="exact"/>
        <w:rPr>
          <w:sz w:val="20"/>
          <w:szCs w:val="20"/>
          <w:color w:val="auto"/>
        </w:rPr>
      </w:pPr>
    </w:p>
    <w:p>
      <w:pPr>
        <w:jc w:val="both"/>
        <w:ind w:left="492"/>
        <w:spacing w:after="0" w:line="276" w:lineRule="auto"/>
        <w:rPr>
          <w:sz w:val="20"/>
          <w:szCs w:val="20"/>
          <w:color w:val="auto"/>
        </w:rPr>
      </w:pPr>
      <w:r>
        <w:rPr>
          <w:rFonts w:ascii="Arial" w:cs="Arial" w:eastAsia="Arial" w:hAnsi="Arial"/>
          <w:sz w:val="17"/>
          <w:szCs w:val="17"/>
          <w:color w:val="auto"/>
        </w:rPr>
        <w:t>We initiated an employee option exchange program that began on December 14, 2009 and ended on January 12, 2010. Under the terms of the program, eligible rank and file employees had the right to exchange eligible options outstanding for shares of unrestricted stock. There were a total of 1,129,555 options eligible for exchange into 247,137 shares of unrestricted stock. Exchange ratios for each eligible grant were determined using the fair values of options and Aware’s common stock immediately prior to the initiation of the program. When the program ended on January 12, 2010, eligible employees had exchanged 820,481 options for 178,314 shares of unrestricted stock.</w:t>
      </w:r>
    </w:p>
    <w:p>
      <w:pPr>
        <w:spacing w:after="0" w:line="200" w:lineRule="exact"/>
        <w:rPr>
          <w:sz w:val="20"/>
          <w:szCs w:val="20"/>
          <w:color w:val="auto"/>
        </w:rPr>
      </w:pPr>
    </w:p>
    <w:p>
      <w:pPr>
        <w:spacing w:after="0" w:line="21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12"/>
          </w:cols>
          <w:pgMar w:left="248" w:top="607" w:right="239" w:bottom="1440" w:gutter="0" w:footer="0" w:header="0"/>
        </w:sectPr>
      </w:pPr>
    </w:p>
    <w:bookmarkStart w:id="51" w:name="page52"/>
    <w:bookmarkEnd w:id="51"/>
    <w:p>
      <w:pPr>
        <w:jc w:val="center"/>
        <w:ind w:right="20"/>
        <w:spacing w:after="0"/>
        <w:rPr>
          <w:sz w:val="20"/>
          <w:szCs w:val="20"/>
          <w:color w:val="auto"/>
        </w:rPr>
      </w:pPr>
      <w:r>
        <w:rPr>
          <w:rFonts w:ascii="Arial" w:cs="Arial" w:eastAsia="Arial" w:hAnsi="Arial"/>
          <w:sz w:val="18"/>
          <w:szCs w:val="18"/>
          <w:b w:val="1"/>
          <w:bCs w:val="1"/>
          <w:color w:val="auto"/>
        </w:rPr>
        <w:t>FINANCIAL STATEMENT SCHEDULE</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Schedule II - Valuation and Qualifying Accounts – Years ended December 31, 2009, 2008, and 2007</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400" w:type="dxa"/>
            <w:vAlign w:val="bottom"/>
            <w:tcBorders>
              <w:top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Col. A</w:t>
            </w:r>
          </w:p>
        </w:tc>
        <w:tc>
          <w:tcPr>
            <w:tcW w:w="1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2"/>
              </w:rPr>
              <w:t>Col. B</w:t>
            </w: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Col. C(1)</w:t>
            </w: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94"/>
              </w:rPr>
              <w:t>Col. C(2)</w:t>
            </w: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Col. D</w:t>
            </w: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3"/>
              </w:rPr>
              <w:t>Col. E</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4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100" w:type="dxa"/>
            <w:vAlign w:val="bottom"/>
            <w:tcBorders>
              <w:top w:val="single" w:sz="8" w:color="auto"/>
            </w:tcBorders>
            <w:gridSpan w:val="4"/>
          </w:tcPr>
          <w:p>
            <w:pPr>
              <w:jc w:val="right"/>
              <w:ind w:right="780"/>
              <w:spacing w:after="0"/>
              <w:rPr>
                <w:sz w:val="20"/>
                <w:szCs w:val="20"/>
                <w:color w:val="auto"/>
              </w:rPr>
            </w:pPr>
            <w:r>
              <w:rPr>
                <w:rFonts w:ascii="Arial" w:cs="Arial" w:eastAsia="Arial" w:hAnsi="Arial"/>
                <w:sz w:val="18"/>
                <w:szCs w:val="18"/>
                <w:b w:val="1"/>
                <w:bCs w:val="1"/>
                <w:color w:val="auto"/>
              </w:rPr>
              <w:t>Additions</w:t>
            </w: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480" w:type="dxa"/>
            <w:vAlign w:val="bottom"/>
            <w:gridSpan w:val="2"/>
          </w:tcPr>
          <w:p>
            <w:pPr>
              <w:jc w:val="center"/>
              <w:ind w:left="1210"/>
              <w:spacing w:after="0" w:line="198" w:lineRule="exact"/>
              <w:rPr>
                <w:sz w:val="20"/>
                <w:szCs w:val="20"/>
                <w:color w:val="auto"/>
              </w:rPr>
            </w:pPr>
            <w:r>
              <w:rPr>
                <w:rFonts w:ascii="Arial" w:cs="Arial" w:eastAsia="Arial" w:hAnsi="Arial"/>
                <w:sz w:val="18"/>
                <w:szCs w:val="18"/>
                <w:b w:val="1"/>
                <w:bCs w:val="1"/>
                <w:color w:val="auto"/>
                <w:w w:val="91"/>
              </w:rPr>
              <w:t>Balance at</w:t>
            </w:r>
          </w:p>
        </w:tc>
        <w:tc>
          <w:tcPr>
            <w:tcW w:w="120" w:type="dxa"/>
            <w:vAlign w:val="bottom"/>
          </w:tcPr>
          <w:p>
            <w:pPr>
              <w:spacing w:after="0"/>
              <w:rPr>
                <w:sz w:val="17"/>
                <w:szCs w:val="17"/>
                <w:color w:val="auto"/>
              </w:rPr>
            </w:pPr>
          </w:p>
        </w:tc>
        <w:tc>
          <w:tcPr>
            <w:tcW w:w="1060" w:type="dxa"/>
            <w:vAlign w:val="bottom"/>
            <w:tcBorders>
              <w:top w:val="single" w:sz="8" w:color="auto"/>
            </w:tcBorders>
            <w:gridSpan w:val="2"/>
          </w:tcPr>
          <w:p>
            <w:pPr>
              <w:jc w:val="center"/>
              <w:ind w:right="30"/>
              <w:spacing w:after="0" w:line="198" w:lineRule="exact"/>
              <w:rPr>
                <w:sz w:val="20"/>
                <w:szCs w:val="20"/>
                <w:color w:val="auto"/>
              </w:rPr>
            </w:pPr>
            <w:r>
              <w:rPr>
                <w:rFonts w:ascii="Arial" w:cs="Arial" w:eastAsia="Arial" w:hAnsi="Arial"/>
                <w:sz w:val="18"/>
                <w:szCs w:val="18"/>
                <w:b w:val="1"/>
                <w:bCs w:val="1"/>
                <w:color w:val="auto"/>
                <w:w w:val="90"/>
              </w:rPr>
              <w:t>Charged to</w:t>
            </w: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0"/>
              </w:rPr>
              <w:t>Charged</w:t>
            </w:r>
          </w:p>
        </w:tc>
        <w:tc>
          <w:tcPr>
            <w:tcW w:w="120" w:type="dxa"/>
            <w:vAlign w:val="bottom"/>
          </w:tcPr>
          <w:p>
            <w:pPr>
              <w:spacing w:after="0"/>
              <w:rPr>
                <w:sz w:val="17"/>
                <w:szCs w:val="17"/>
                <w:color w:val="auto"/>
              </w:rPr>
            </w:pPr>
          </w:p>
        </w:tc>
        <w:tc>
          <w:tcPr>
            <w:tcW w:w="1100" w:type="dxa"/>
            <w:vAlign w:val="bottom"/>
            <w:gridSpan w:val="2"/>
          </w:tcPr>
          <w:p>
            <w:pPr>
              <w:ind w:left="100"/>
              <w:spacing w:after="0" w:line="198" w:lineRule="exact"/>
              <w:rPr>
                <w:sz w:val="20"/>
                <w:szCs w:val="20"/>
                <w:color w:val="auto"/>
              </w:rPr>
            </w:pPr>
            <w:r>
              <w:rPr>
                <w:rFonts w:ascii="Arial" w:cs="Arial" w:eastAsia="Arial" w:hAnsi="Arial"/>
                <w:sz w:val="18"/>
                <w:szCs w:val="18"/>
                <w:b w:val="1"/>
                <w:bCs w:val="1"/>
                <w:color w:val="auto"/>
                <w:w w:val="99"/>
              </w:rPr>
              <w:t>Deductions</w:t>
            </w:r>
          </w:p>
        </w:tc>
        <w:tc>
          <w:tcPr>
            <w:tcW w:w="220" w:type="dxa"/>
            <w:vAlign w:val="bottom"/>
          </w:tcPr>
          <w:p>
            <w:pPr>
              <w:spacing w:after="0"/>
              <w:rPr>
                <w:sz w:val="17"/>
                <w:szCs w:val="17"/>
                <w:color w:val="auto"/>
              </w:rPr>
            </w:pPr>
          </w:p>
        </w:tc>
        <w:tc>
          <w:tcPr>
            <w:tcW w:w="90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86"/>
              </w:rPr>
              <w:t>Balance</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480" w:type="dxa"/>
            <w:vAlign w:val="bottom"/>
            <w:gridSpan w:val="2"/>
          </w:tcPr>
          <w:p>
            <w:pPr>
              <w:jc w:val="center"/>
              <w:ind w:left="1210"/>
              <w:spacing w:after="0"/>
              <w:rPr>
                <w:sz w:val="20"/>
                <w:szCs w:val="20"/>
                <w:color w:val="auto"/>
              </w:rPr>
            </w:pPr>
            <w:r>
              <w:rPr>
                <w:rFonts w:ascii="Arial" w:cs="Arial" w:eastAsia="Arial" w:hAnsi="Arial"/>
                <w:sz w:val="18"/>
                <w:szCs w:val="18"/>
                <w:b w:val="1"/>
                <w:bCs w:val="1"/>
                <w:color w:val="auto"/>
                <w:w w:val="88"/>
              </w:rPr>
              <w:t>Beginning</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Costs and</w:t>
            </w:r>
          </w:p>
        </w:tc>
        <w:tc>
          <w:tcPr>
            <w:tcW w:w="18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to Other</w:t>
            </w: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Charged to</w:t>
            </w:r>
          </w:p>
        </w:tc>
        <w:tc>
          <w:tcPr>
            <w:tcW w:w="22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at End</w:t>
            </w: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of Period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center"/>
              <w:ind w:right="130"/>
              <w:spacing w:after="0"/>
              <w:rPr>
                <w:sz w:val="20"/>
                <w:szCs w:val="20"/>
                <w:color w:val="auto"/>
              </w:rPr>
            </w:pPr>
            <w:r>
              <w:rPr>
                <w:rFonts w:ascii="Arial" w:cs="Arial" w:eastAsia="Arial" w:hAnsi="Arial"/>
                <w:sz w:val="18"/>
                <w:szCs w:val="18"/>
                <w:b w:val="1"/>
                <w:bCs w:val="1"/>
                <w:color w:val="auto"/>
                <w:w w:val="85"/>
              </w:rPr>
              <w:t>Expenses</w:t>
            </w:r>
          </w:p>
        </w:tc>
        <w:tc>
          <w:tcPr>
            <w:tcW w:w="180" w:type="dxa"/>
            <w:vAlign w:val="bottom"/>
          </w:tcPr>
          <w:p>
            <w:pPr>
              <w:spacing w:after="0"/>
              <w:rPr>
                <w:sz w:val="20"/>
                <w:szCs w:val="20"/>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Accounts</w:t>
            </w:r>
          </w:p>
        </w:tc>
        <w:tc>
          <w:tcPr>
            <w:tcW w:w="18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w w:val="84"/>
              </w:rPr>
              <w:t>Reserves</w:t>
            </w:r>
          </w:p>
        </w:tc>
        <w:tc>
          <w:tcPr>
            <w:tcW w:w="11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of Period</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4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Allowance for doubtful accounts receivable:</w:t>
            </w:r>
          </w:p>
        </w:tc>
        <w:tc>
          <w:tcPr>
            <w:tcW w:w="15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420" w:type="dxa"/>
            <w:vAlign w:val="bottom"/>
            <w:gridSpan w:val="2"/>
          </w:tcPr>
          <w:p>
            <w:pPr>
              <w:jc w:val="right"/>
              <w:ind w:right="3790"/>
              <w:spacing w:after="0"/>
              <w:rPr>
                <w:sz w:val="20"/>
                <w:szCs w:val="20"/>
                <w:color w:val="auto"/>
              </w:rPr>
            </w:pPr>
            <w:r>
              <w:rPr>
                <w:rFonts w:ascii="Arial" w:cs="Arial" w:eastAsia="Arial" w:hAnsi="Arial"/>
                <w:sz w:val="18"/>
                <w:szCs w:val="18"/>
                <w:color w:val="auto"/>
              </w:rPr>
              <w:t>2009</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r>
      <w:tr>
        <w:trPr>
          <w:trHeight w:val="216"/>
        </w:trPr>
        <w:tc>
          <w:tcPr>
            <w:tcW w:w="4420" w:type="dxa"/>
            <w:vAlign w:val="bottom"/>
            <w:gridSpan w:val="2"/>
          </w:tcPr>
          <w:p>
            <w:pPr>
              <w:jc w:val="right"/>
              <w:ind w:right="3790"/>
              <w:spacing w:after="0"/>
              <w:rPr>
                <w:sz w:val="20"/>
                <w:szCs w:val="20"/>
                <w:color w:val="auto"/>
              </w:rPr>
            </w:pPr>
            <w:r>
              <w:rPr>
                <w:rFonts w:ascii="Arial" w:cs="Arial" w:eastAsia="Arial" w:hAnsi="Arial"/>
                <w:sz w:val="18"/>
                <w:szCs w:val="18"/>
                <w:color w:val="auto"/>
              </w:rPr>
              <w:t>2008</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r>
      <w:tr>
        <w:trPr>
          <w:trHeight w:val="230"/>
        </w:trPr>
        <w:tc>
          <w:tcPr>
            <w:tcW w:w="4420" w:type="dxa"/>
            <w:vAlign w:val="bottom"/>
            <w:gridSpan w:val="2"/>
          </w:tcPr>
          <w:p>
            <w:pPr>
              <w:jc w:val="right"/>
              <w:ind w:right="3790"/>
              <w:spacing w:after="0"/>
              <w:rPr>
                <w:sz w:val="20"/>
                <w:szCs w:val="20"/>
                <w:color w:val="auto"/>
              </w:rPr>
            </w:pPr>
            <w:r>
              <w:rPr>
                <w:rFonts w:ascii="Arial" w:cs="Arial" w:eastAsia="Arial" w:hAnsi="Arial"/>
                <w:sz w:val="18"/>
                <w:szCs w:val="18"/>
                <w:color w:val="auto"/>
              </w:rPr>
              <w:t>2007</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0"/>
                <w:szCs w:val="20"/>
                <w:color w:val="auto"/>
              </w:rPr>
            </w:pPr>
          </w:p>
        </w:tc>
      </w:tr>
      <w:tr>
        <w:trPr>
          <w:trHeight w:val="418"/>
        </w:trPr>
        <w:tc>
          <w:tcPr>
            <w:tcW w:w="4420" w:type="dxa"/>
            <w:vAlign w:val="bottom"/>
            <w:gridSpan w:val="2"/>
          </w:tcPr>
          <w:p>
            <w:pPr>
              <w:spacing w:after="0"/>
              <w:rPr>
                <w:sz w:val="20"/>
                <w:szCs w:val="20"/>
                <w:color w:val="auto"/>
              </w:rPr>
            </w:pPr>
            <w:r>
              <w:rPr>
                <w:rFonts w:ascii="Arial" w:cs="Arial" w:eastAsia="Arial" w:hAnsi="Arial"/>
                <w:sz w:val="18"/>
                <w:szCs w:val="18"/>
                <w:color w:val="auto"/>
              </w:rPr>
              <w:t>Inventory reserves:</w:t>
            </w:r>
          </w:p>
        </w:tc>
        <w:tc>
          <w:tcPr>
            <w:tcW w:w="1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420" w:type="dxa"/>
            <w:vAlign w:val="bottom"/>
            <w:gridSpan w:val="2"/>
          </w:tcPr>
          <w:p>
            <w:pPr>
              <w:jc w:val="right"/>
              <w:ind w:right="3790"/>
              <w:spacing w:after="0"/>
              <w:rPr>
                <w:sz w:val="20"/>
                <w:szCs w:val="20"/>
                <w:color w:val="auto"/>
              </w:rPr>
            </w:pPr>
            <w:r>
              <w:rPr>
                <w:rFonts w:ascii="Arial" w:cs="Arial" w:eastAsia="Arial" w:hAnsi="Arial"/>
                <w:sz w:val="18"/>
                <w:szCs w:val="18"/>
                <w:color w:val="auto"/>
              </w:rPr>
              <w:t>2009</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738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399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1,137</w:t>
            </w:r>
          </w:p>
        </w:tc>
        <w:tc>
          <w:tcPr>
            <w:tcW w:w="20" w:type="dxa"/>
            <w:vAlign w:val="bottom"/>
          </w:tcPr>
          <w:p>
            <w:pPr>
              <w:spacing w:after="0"/>
              <w:rPr>
                <w:sz w:val="18"/>
                <w:szCs w:val="18"/>
                <w:color w:val="auto"/>
              </w:rPr>
            </w:pPr>
          </w:p>
        </w:tc>
      </w:tr>
      <w:tr>
        <w:trPr>
          <w:trHeight w:val="216"/>
        </w:trPr>
        <w:tc>
          <w:tcPr>
            <w:tcW w:w="4420" w:type="dxa"/>
            <w:vAlign w:val="bottom"/>
            <w:gridSpan w:val="2"/>
          </w:tcPr>
          <w:p>
            <w:pPr>
              <w:jc w:val="right"/>
              <w:ind w:right="3790"/>
              <w:spacing w:after="0"/>
              <w:rPr>
                <w:sz w:val="20"/>
                <w:szCs w:val="20"/>
                <w:color w:val="auto"/>
              </w:rPr>
            </w:pPr>
            <w:r>
              <w:rPr>
                <w:rFonts w:ascii="Arial" w:cs="Arial" w:eastAsia="Arial" w:hAnsi="Arial"/>
                <w:sz w:val="18"/>
                <w:szCs w:val="18"/>
                <w:color w:val="auto"/>
              </w:rPr>
              <w:t>2008</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409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316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738</w:t>
            </w:r>
          </w:p>
        </w:tc>
        <w:tc>
          <w:tcPr>
            <w:tcW w:w="20" w:type="dxa"/>
            <w:vAlign w:val="bottom"/>
          </w:tcPr>
          <w:p>
            <w:pPr>
              <w:spacing w:after="0"/>
              <w:rPr>
                <w:sz w:val="18"/>
                <w:szCs w:val="18"/>
                <w:color w:val="auto"/>
              </w:rPr>
            </w:pPr>
          </w:p>
        </w:tc>
      </w:tr>
      <w:tr>
        <w:trPr>
          <w:trHeight w:val="230"/>
        </w:trPr>
        <w:tc>
          <w:tcPr>
            <w:tcW w:w="4420" w:type="dxa"/>
            <w:vAlign w:val="bottom"/>
            <w:gridSpan w:val="2"/>
          </w:tcPr>
          <w:p>
            <w:pPr>
              <w:jc w:val="right"/>
              <w:ind w:right="3790"/>
              <w:spacing w:after="0"/>
              <w:rPr>
                <w:sz w:val="20"/>
                <w:szCs w:val="20"/>
                <w:color w:val="auto"/>
              </w:rPr>
            </w:pPr>
            <w:r>
              <w:rPr>
                <w:rFonts w:ascii="Arial" w:cs="Arial" w:eastAsia="Arial" w:hAnsi="Arial"/>
                <w:sz w:val="18"/>
                <w:szCs w:val="18"/>
                <w:color w:val="auto"/>
              </w:rPr>
              <w:t>2007</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313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409</w:t>
            </w:r>
          </w:p>
        </w:tc>
        <w:tc>
          <w:tcPr>
            <w:tcW w:w="20" w:type="dxa"/>
            <w:vAlign w:val="bottom"/>
          </w:tcPr>
          <w:p>
            <w:pPr>
              <w:spacing w:after="0"/>
              <w:rPr>
                <w:sz w:val="20"/>
                <w:szCs w:val="20"/>
                <w:color w:val="auto"/>
              </w:rPr>
            </w:pPr>
          </w:p>
        </w:tc>
      </w:tr>
      <w:tr>
        <w:trPr>
          <w:trHeight w:val="418"/>
        </w:trPr>
        <w:tc>
          <w:tcPr>
            <w:tcW w:w="4420" w:type="dxa"/>
            <w:vAlign w:val="bottom"/>
            <w:gridSpan w:val="2"/>
          </w:tcPr>
          <w:p>
            <w:pPr>
              <w:spacing w:after="0"/>
              <w:rPr>
                <w:sz w:val="20"/>
                <w:szCs w:val="20"/>
                <w:color w:val="auto"/>
              </w:rPr>
            </w:pPr>
            <w:r>
              <w:rPr>
                <w:rFonts w:ascii="Arial" w:cs="Arial" w:eastAsia="Arial" w:hAnsi="Arial"/>
                <w:sz w:val="18"/>
                <w:szCs w:val="18"/>
                <w:color w:val="auto"/>
              </w:rPr>
              <w:t>Warranty reserves:</w:t>
            </w:r>
          </w:p>
        </w:tc>
        <w:tc>
          <w:tcPr>
            <w:tcW w:w="1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420" w:type="dxa"/>
            <w:vAlign w:val="bottom"/>
            <w:gridSpan w:val="2"/>
          </w:tcPr>
          <w:p>
            <w:pPr>
              <w:jc w:val="right"/>
              <w:ind w:right="3790"/>
              <w:spacing w:after="0"/>
              <w:rPr>
                <w:sz w:val="20"/>
                <w:szCs w:val="20"/>
                <w:color w:val="auto"/>
              </w:rPr>
            </w:pPr>
            <w:r>
              <w:rPr>
                <w:rFonts w:ascii="Arial" w:cs="Arial" w:eastAsia="Arial" w:hAnsi="Arial"/>
                <w:sz w:val="18"/>
                <w:szCs w:val="18"/>
                <w:color w:val="auto"/>
              </w:rPr>
              <w:t>2009</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4420" w:type="dxa"/>
            <w:vAlign w:val="bottom"/>
            <w:gridSpan w:val="2"/>
          </w:tcPr>
          <w:p>
            <w:pPr>
              <w:jc w:val="right"/>
              <w:ind w:right="3790"/>
              <w:spacing w:after="0"/>
              <w:rPr>
                <w:sz w:val="20"/>
                <w:szCs w:val="20"/>
                <w:color w:val="auto"/>
              </w:rPr>
            </w:pPr>
            <w:r>
              <w:rPr>
                <w:rFonts w:ascii="Arial" w:cs="Arial" w:eastAsia="Arial" w:hAnsi="Arial"/>
                <w:sz w:val="18"/>
                <w:szCs w:val="18"/>
                <w:color w:val="auto"/>
              </w:rPr>
              <w:t>2008</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118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r>
      <w:tr>
        <w:trPr>
          <w:trHeight w:val="230"/>
        </w:trPr>
        <w:tc>
          <w:tcPr>
            <w:tcW w:w="4420" w:type="dxa"/>
            <w:vAlign w:val="bottom"/>
            <w:gridSpan w:val="2"/>
          </w:tcPr>
          <w:p>
            <w:pPr>
              <w:jc w:val="right"/>
              <w:ind w:right="3790"/>
              <w:spacing w:after="0"/>
              <w:rPr>
                <w:sz w:val="20"/>
                <w:szCs w:val="20"/>
                <w:color w:val="auto"/>
              </w:rPr>
            </w:pPr>
            <w:r>
              <w:rPr>
                <w:rFonts w:ascii="Arial" w:cs="Arial" w:eastAsia="Arial" w:hAnsi="Arial"/>
                <w:sz w:val="18"/>
                <w:szCs w:val="18"/>
                <w:color w:val="auto"/>
              </w:rPr>
              <w:t>2007</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r>
      <w:tr>
        <w:trPr>
          <w:trHeight w:val="418"/>
        </w:trPr>
        <w:tc>
          <w:tcPr>
            <w:tcW w:w="4420" w:type="dxa"/>
            <w:vAlign w:val="bottom"/>
            <w:gridSpan w:val="2"/>
          </w:tcPr>
          <w:p>
            <w:pPr>
              <w:spacing w:after="0"/>
              <w:rPr>
                <w:sz w:val="20"/>
                <w:szCs w:val="20"/>
                <w:color w:val="auto"/>
              </w:rPr>
            </w:pPr>
            <w:r>
              <w:rPr>
                <w:rFonts w:ascii="Arial" w:cs="Arial" w:eastAsia="Arial" w:hAnsi="Arial"/>
                <w:sz w:val="18"/>
                <w:szCs w:val="18"/>
                <w:color w:val="auto"/>
              </w:rPr>
              <w:t>Deferred tax asset valuation allowance:</w:t>
            </w:r>
          </w:p>
        </w:tc>
        <w:tc>
          <w:tcPr>
            <w:tcW w:w="1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420" w:type="dxa"/>
            <w:vAlign w:val="bottom"/>
            <w:gridSpan w:val="2"/>
          </w:tcPr>
          <w:p>
            <w:pPr>
              <w:jc w:val="right"/>
              <w:ind w:right="3790"/>
              <w:spacing w:after="0"/>
              <w:rPr>
                <w:sz w:val="20"/>
                <w:szCs w:val="20"/>
                <w:color w:val="auto"/>
              </w:rPr>
            </w:pPr>
            <w:r>
              <w:rPr>
                <w:rFonts w:ascii="Arial" w:cs="Arial" w:eastAsia="Arial" w:hAnsi="Arial"/>
                <w:sz w:val="18"/>
                <w:szCs w:val="18"/>
                <w:color w:val="auto"/>
              </w:rPr>
              <w:t>2009</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42,481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289</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42,770</w:t>
            </w:r>
          </w:p>
        </w:tc>
        <w:tc>
          <w:tcPr>
            <w:tcW w:w="20" w:type="dxa"/>
            <w:vAlign w:val="bottom"/>
          </w:tcPr>
          <w:p>
            <w:pPr>
              <w:spacing w:after="0"/>
              <w:rPr>
                <w:sz w:val="18"/>
                <w:szCs w:val="18"/>
                <w:color w:val="auto"/>
              </w:rPr>
            </w:pPr>
          </w:p>
        </w:tc>
      </w:tr>
      <w:tr>
        <w:trPr>
          <w:trHeight w:val="216"/>
        </w:trPr>
        <w:tc>
          <w:tcPr>
            <w:tcW w:w="4420" w:type="dxa"/>
            <w:vAlign w:val="bottom"/>
            <w:gridSpan w:val="2"/>
          </w:tcPr>
          <w:p>
            <w:pPr>
              <w:jc w:val="right"/>
              <w:ind w:right="3790"/>
              <w:spacing w:after="0"/>
              <w:rPr>
                <w:sz w:val="20"/>
                <w:szCs w:val="20"/>
                <w:color w:val="auto"/>
              </w:rPr>
            </w:pPr>
            <w:r>
              <w:rPr>
                <w:rFonts w:ascii="Arial" w:cs="Arial" w:eastAsia="Arial" w:hAnsi="Arial"/>
                <w:sz w:val="18"/>
                <w:szCs w:val="18"/>
                <w:color w:val="auto"/>
              </w:rPr>
              <w:t>2008</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42,825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(344)</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42,481</w:t>
            </w:r>
          </w:p>
        </w:tc>
        <w:tc>
          <w:tcPr>
            <w:tcW w:w="20" w:type="dxa"/>
            <w:vAlign w:val="bottom"/>
          </w:tcPr>
          <w:p>
            <w:pPr>
              <w:spacing w:after="0"/>
              <w:rPr>
                <w:sz w:val="18"/>
                <w:szCs w:val="18"/>
                <w:color w:val="auto"/>
              </w:rPr>
            </w:pPr>
          </w:p>
        </w:tc>
      </w:tr>
      <w:tr>
        <w:trPr>
          <w:trHeight w:val="230"/>
        </w:trPr>
        <w:tc>
          <w:tcPr>
            <w:tcW w:w="4420" w:type="dxa"/>
            <w:vAlign w:val="bottom"/>
            <w:gridSpan w:val="2"/>
          </w:tcPr>
          <w:p>
            <w:pPr>
              <w:jc w:val="right"/>
              <w:ind w:right="3790"/>
              <w:spacing w:after="0"/>
              <w:rPr>
                <w:sz w:val="20"/>
                <w:szCs w:val="20"/>
                <w:color w:val="auto"/>
              </w:rPr>
            </w:pPr>
            <w:r>
              <w:rPr>
                <w:rFonts w:ascii="Arial" w:cs="Arial" w:eastAsia="Arial" w:hAnsi="Arial"/>
                <w:sz w:val="18"/>
                <w:szCs w:val="18"/>
                <w:color w:val="auto"/>
              </w:rPr>
              <w:t>2007</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43,772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(947)</w:t>
            </w:r>
          </w:p>
        </w:tc>
        <w:tc>
          <w:tcPr>
            <w:tcW w:w="18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42,825</w:t>
            </w:r>
          </w:p>
        </w:tc>
        <w:tc>
          <w:tcPr>
            <w:tcW w:w="20" w:type="dxa"/>
            <w:vAlign w:val="bottom"/>
          </w:tcPr>
          <w:p>
            <w:pPr>
              <w:spacing w:after="0"/>
              <w:rPr>
                <w:sz w:val="20"/>
                <w:szCs w:val="20"/>
                <w:color w:val="auto"/>
              </w:rPr>
            </w:pPr>
          </w:p>
        </w:tc>
      </w:tr>
      <w:tr>
        <w:trPr>
          <w:trHeight w:val="675"/>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52</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440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07" w:right="21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conducted an evaluation of our disclosure controls and procedures, as such term is defined under Rule 13a-15(e) promulgated under the Securities Exchange Act of 1934, as amended (the Exchange Act). Based on this evaluation, our chief executive officer and chief financial officer concluded that our disclosure controls and procedures were effective as of the end of the period covered by this annual report.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Changes in Internal Control Over Financial Reporting</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concluded that there were no changes in our internal control over financial reporting that occurred during the quarterly period ended December 31, 2009 that have materially affected, or are reasonably likely to materially affect, our internal control over financial reporting.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such term is defined in Exchange Act Rule 13a-15(f).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issued by the Committee of Sponsoring Organizations of the Treadway Commission. Based on our evaluation under the framework in</w:t>
      </w:r>
      <w:r>
        <w:rPr>
          <w:rFonts w:ascii="Arial" w:cs="Arial" w:eastAsia="Arial" w:hAnsi="Arial"/>
          <w:sz w:val="16"/>
          <w:szCs w:val="16"/>
          <w:i w:val="1"/>
          <w:iCs w:val="1"/>
          <w:color w:val="auto"/>
        </w:rPr>
        <w:t xml:space="preserve"> Internal Control — Integrated Framework</w:t>
      </w:r>
      <w:r>
        <w:rPr>
          <w:rFonts w:ascii="Arial" w:cs="Arial" w:eastAsia="Arial" w:hAnsi="Arial"/>
          <w:sz w:val="16"/>
          <w:szCs w:val="16"/>
          <w:color w:val="auto"/>
        </w:rPr>
        <w:t>, our management concluded that our internal control over financial reporting was effective as of December 31, 2009.</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2009 has been audited by PricewaterhouseCoopers LLP, an independent registered public accounting firm, as stated in their report which is included herein.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information required by Item 10 of Form 10-K is incorporated by reference from the information contained in the sections captioned </w:t>
      </w:r>
      <w:r>
        <w:rPr>
          <w:rFonts w:ascii="Arial" w:cs="Arial" w:eastAsia="Arial" w:hAnsi="Arial"/>
          <w:sz w:val="18"/>
          <w:szCs w:val="18"/>
          <w:i w:val="1"/>
          <w:iCs w:val="1"/>
          <w:color w:val="auto"/>
        </w:rPr>
        <w:t>“Directors and</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Officers”, “Corporate Governance</w:t>
      </w:r>
      <w:r>
        <w:rPr>
          <w:rFonts w:ascii="Arial" w:cs="Arial" w:eastAsia="Arial" w:hAnsi="Arial"/>
          <w:sz w:val="18"/>
          <w:szCs w:val="18"/>
          <w:color w:val="auto"/>
        </w:rPr>
        <w:t>” and</w:t>
      </w:r>
      <w:r>
        <w:rPr>
          <w:rFonts w:ascii="Arial" w:cs="Arial" w:eastAsia="Arial" w:hAnsi="Arial"/>
          <w:sz w:val="18"/>
          <w:szCs w:val="18"/>
          <w:i w:val="1"/>
          <w:iCs w:val="1"/>
          <w:color w:val="auto"/>
        </w:rPr>
        <w:t xml:space="preserve"> “Section 16(a</w:t>
      </w:r>
      <w:r>
        <w:rPr>
          <w:rFonts w:ascii="Arial" w:cs="Arial" w:eastAsia="Arial" w:hAnsi="Arial"/>
          <w:sz w:val="18"/>
          <w:szCs w:val="18"/>
          <w:color w:val="auto"/>
        </w:rPr>
        <w:t>)</w:t>
      </w:r>
      <w:r>
        <w:rPr>
          <w:rFonts w:ascii="Arial" w:cs="Arial" w:eastAsia="Arial" w:hAnsi="Arial"/>
          <w:sz w:val="18"/>
          <w:szCs w:val="18"/>
          <w:i w:val="1"/>
          <w:iCs w:val="1"/>
          <w:color w:val="auto"/>
        </w:rPr>
        <w:t xml:space="preserve"> Beneficial Ownership Reporting Compliance” </w:t>
      </w:r>
      <w:r>
        <w:rPr>
          <w:rFonts w:ascii="Arial" w:cs="Arial" w:eastAsia="Arial" w:hAnsi="Arial"/>
          <w:sz w:val="18"/>
          <w:szCs w:val="18"/>
          <w:color w:val="auto"/>
        </w:rPr>
        <w:t>in the Proxy Statement that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to our shareholders in connection with our May 26, 2010 Annual Meeting of Shareholders.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The information required by Item 11 of Form 10-K is incorporated by reference from the information contained in the section captioned </w:t>
      </w:r>
      <w:r>
        <w:rPr>
          <w:rFonts w:ascii="Arial" w:cs="Arial" w:eastAsia="Arial" w:hAnsi="Arial"/>
          <w:sz w:val="17"/>
          <w:szCs w:val="17"/>
          <w:i w:val="1"/>
          <w:iCs w:val="1"/>
          <w:color w:val="auto"/>
        </w:rPr>
        <w:t>“Executive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w:t>
      </w:r>
      <w:r>
        <w:rPr>
          <w:rFonts w:ascii="Arial" w:cs="Arial" w:eastAsia="Arial" w:hAnsi="Arial"/>
          <w:sz w:val="17"/>
          <w:szCs w:val="17"/>
          <w:color w:val="auto"/>
        </w:rPr>
        <w:t>in the Proxy Statement that will be delivered to our shareholders in connection with our May 26, 2010 Annual Meeting of Shareholders.</w:t>
      </w:r>
    </w:p>
    <w:p>
      <w:pPr>
        <w:spacing w:after="0" w:line="170"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information required by Item 12 of Form 10-K is incorporated by reference from the information contained in the section captioned </w:t>
      </w:r>
      <w:r>
        <w:rPr>
          <w:rFonts w:ascii="Arial" w:cs="Arial" w:eastAsia="Arial" w:hAnsi="Arial"/>
          <w:sz w:val="18"/>
          <w:szCs w:val="18"/>
          <w:i w:val="1"/>
          <w:iCs w:val="1"/>
          <w:color w:val="auto"/>
        </w:rPr>
        <w:t>“Security Ownership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Certain Beneficial Owners and Management and Related Stockholder Matters” </w:t>
      </w:r>
      <w:r>
        <w:rPr>
          <w:rFonts w:ascii="Arial" w:cs="Arial" w:eastAsia="Arial" w:hAnsi="Arial"/>
          <w:sz w:val="18"/>
          <w:szCs w:val="18"/>
          <w:color w:val="auto"/>
        </w:rPr>
        <w:t>in the Proxy Statement that will be delivered to our shareholders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our May 26, 2010 Annual Meeting of Shareholders.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information, if any, required by Item 13 of Form 10-K is incorporated by reference from the information contained in the sections captioned </w:t>
      </w:r>
      <w:r>
        <w:rPr>
          <w:rFonts w:ascii="Arial" w:cs="Arial" w:eastAsia="Arial" w:hAnsi="Arial"/>
          <w:sz w:val="18"/>
          <w:szCs w:val="18"/>
          <w:i w:val="1"/>
          <w:iCs w:val="1"/>
          <w:color w:val="auto"/>
        </w:rPr>
        <w:t>“Corporate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Governance” </w:t>
      </w:r>
      <w:r>
        <w:rPr>
          <w:rFonts w:ascii="Arial" w:cs="Arial" w:eastAsia="Arial" w:hAnsi="Arial"/>
          <w:sz w:val="18"/>
          <w:szCs w:val="18"/>
          <w:color w:val="auto"/>
        </w:rPr>
        <w:t>and</w:t>
      </w:r>
      <w:r>
        <w:rPr>
          <w:rFonts w:ascii="Arial" w:cs="Arial" w:eastAsia="Arial" w:hAnsi="Arial"/>
          <w:sz w:val="18"/>
          <w:szCs w:val="18"/>
          <w:i w:val="1"/>
          <w:iCs w:val="1"/>
          <w:color w:val="auto"/>
        </w:rPr>
        <w:t xml:space="preserve"> “Certain Relationships and Related Transactions” </w:t>
      </w:r>
      <w:r>
        <w:rPr>
          <w:rFonts w:ascii="Arial" w:cs="Arial" w:eastAsia="Arial" w:hAnsi="Arial"/>
          <w:sz w:val="18"/>
          <w:szCs w:val="18"/>
          <w:color w:val="auto"/>
        </w:rPr>
        <w:t>in the Proxy Statement that will be delivered to our shareholders in connection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May 26, 2010 Annual Meeting of Shareholders.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The information required by Item 14 of Form 10-K is incorporated by reference from the information contained in the section captioned </w:t>
      </w:r>
      <w:r>
        <w:rPr>
          <w:rFonts w:ascii="Arial" w:cs="Arial" w:eastAsia="Arial" w:hAnsi="Arial"/>
          <w:sz w:val="17"/>
          <w:szCs w:val="17"/>
          <w:i w:val="1"/>
          <w:iCs w:val="1"/>
          <w:color w:val="auto"/>
        </w:rPr>
        <w:t>“Independent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Accountants” </w:t>
      </w:r>
      <w:r>
        <w:rPr>
          <w:rFonts w:ascii="Arial" w:cs="Arial" w:eastAsia="Arial" w:hAnsi="Arial"/>
          <w:sz w:val="17"/>
          <w:szCs w:val="17"/>
          <w:color w:val="auto"/>
        </w:rPr>
        <w:t>in the Proxy Statement that will be delivered to our shareholders in connection with our May 26, 2010 Annual Meeting of Shareholders.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4" w:name="page55"/>
    <w:bookmarkEnd w:id="54"/>
    <w:p>
      <w:pPr>
        <w:ind w:left="514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248"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Financial Statements and Exhibits</w:t>
      </w:r>
      <w:r>
        <w:rPr>
          <w:rFonts w:ascii="Arial" w:cs="Arial" w:eastAsia="Arial" w:hAnsi="Arial"/>
          <w:sz w:val="18"/>
          <w:szCs w:val="18"/>
          <w:b w:val="1"/>
          <w:bCs w:val="1"/>
          <w:color w:val="auto"/>
        </w:rPr>
        <w: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1060" w:type="dxa"/>
            <w:vAlign w:val="bottom"/>
            <w:gridSpan w:val="2"/>
          </w:tcPr>
          <w:p>
            <w:pPr>
              <w:jc w:val="center"/>
              <w:ind w:right="640"/>
              <w:spacing w:after="0"/>
              <w:rPr>
                <w:sz w:val="20"/>
                <w:szCs w:val="20"/>
                <w:color w:val="auto"/>
              </w:rPr>
            </w:pPr>
            <w:r>
              <w:rPr>
                <w:rFonts w:ascii="Arial" w:cs="Arial" w:eastAsia="Arial" w:hAnsi="Arial"/>
                <w:sz w:val="18"/>
                <w:szCs w:val="18"/>
                <w:color w:val="auto"/>
                <w:w w:val="80"/>
              </w:rPr>
              <w:t>Page</w:t>
            </w:r>
          </w:p>
        </w:tc>
      </w:tr>
      <w:tr>
        <w:trPr>
          <w:trHeight w:val="202"/>
        </w:trPr>
        <w:tc>
          <w:tcPr>
            <w:tcW w:w="10380" w:type="dxa"/>
            <w:vAlign w:val="bottom"/>
            <w:gridSpan w:val="5"/>
          </w:tcPr>
          <w:p>
            <w:pPr>
              <w:ind w:left="180"/>
              <w:spacing w:after="0" w:line="201" w:lineRule="exact"/>
              <w:rPr>
                <w:sz w:val="20"/>
                <w:szCs w:val="20"/>
                <w:color w:val="auto"/>
              </w:rPr>
            </w:pPr>
            <w:r>
              <w:rPr>
                <w:rFonts w:ascii="Arial" w:cs="Arial" w:eastAsia="Arial" w:hAnsi="Arial"/>
                <w:sz w:val="18"/>
                <w:szCs w:val="18"/>
                <w:color w:val="auto"/>
              </w:rPr>
              <w:t>(1) Report of Independent Registered Public Accounting Firm</w:t>
            </w:r>
          </w:p>
        </w:tc>
        <w:tc>
          <w:tcPr>
            <w:tcW w:w="4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33</w:t>
            </w:r>
          </w:p>
        </w:tc>
        <w:tc>
          <w:tcPr>
            <w:tcW w:w="600" w:type="dxa"/>
            <w:vAlign w:val="bottom"/>
          </w:tcPr>
          <w:p>
            <w:pPr>
              <w:spacing w:after="0"/>
              <w:rPr>
                <w:sz w:val="17"/>
                <w:szCs w:val="17"/>
                <w:color w:val="auto"/>
              </w:rPr>
            </w:pPr>
          </w:p>
        </w:tc>
      </w:tr>
      <w:tr>
        <w:trPr>
          <w:trHeight w:val="216"/>
        </w:trPr>
        <w:tc>
          <w:tcPr>
            <w:tcW w:w="10380" w:type="dxa"/>
            <w:vAlign w:val="bottom"/>
            <w:gridSpan w:val="5"/>
          </w:tcPr>
          <w:p>
            <w:pPr>
              <w:ind w:left="180"/>
              <w:spacing w:after="0"/>
              <w:rPr>
                <w:sz w:val="20"/>
                <w:szCs w:val="20"/>
                <w:color w:val="auto"/>
              </w:rPr>
            </w:pPr>
            <w:r>
              <w:rPr>
                <w:rFonts w:ascii="Arial" w:cs="Arial" w:eastAsia="Arial" w:hAnsi="Arial"/>
                <w:sz w:val="18"/>
                <w:szCs w:val="18"/>
                <w:color w:val="auto"/>
              </w:rPr>
              <w:t>Consolidated Balance Sheets as of December 31, 2009 and 2008</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600" w:type="dxa"/>
            <w:vAlign w:val="bottom"/>
          </w:tcPr>
          <w:p>
            <w:pPr>
              <w:spacing w:after="0"/>
              <w:rPr>
                <w:sz w:val="18"/>
                <w:szCs w:val="18"/>
                <w:color w:val="auto"/>
              </w:rPr>
            </w:pPr>
          </w:p>
        </w:tc>
      </w:tr>
      <w:tr>
        <w:trPr>
          <w:trHeight w:val="216"/>
        </w:trPr>
        <w:tc>
          <w:tcPr>
            <w:tcW w:w="10380" w:type="dxa"/>
            <w:vAlign w:val="bottom"/>
            <w:gridSpan w:val="5"/>
          </w:tcPr>
          <w:p>
            <w:pPr>
              <w:ind w:left="180"/>
              <w:spacing w:after="0"/>
              <w:rPr>
                <w:sz w:val="20"/>
                <w:szCs w:val="20"/>
                <w:color w:val="auto"/>
              </w:rPr>
            </w:pPr>
            <w:r>
              <w:rPr>
                <w:rFonts w:ascii="Arial" w:cs="Arial" w:eastAsia="Arial" w:hAnsi="Arial"/>
                <w:sz w:val="18"/>
                <w:szCs w:val="18"/>
                <w:color w:val="auto"/>
              </w:rPr>
              <w:t>Consolidated Statements of Operations for each of the three years in the period ended December 31, 2009</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600" w:type="dxa"/>
            <w:vAlign w:val="bottom"/>
          </w:tcPr>
          <w:p>
            <w:pPr>
              <w:spacing w:after="0"/>
              <w:rPr>
                <w:sz w:val="18"/>
                <w:szCs w:val="18"/>
                <w:color w:val="auto"/>
              </w:rPr>
            </w:pPr>
          </w:p>
        </w:tc>
      </w:tr>
      <w:tr>
        <w:trPr>
          <w:trHeight w:val="216"/>
        </w:trPr>
        <w:tc>
          <w:tcPr>
            <w:tcW w:w="10380" w:type="dxa"/>
            <w:vAlign w:val="bottom"/>
            <w:gridSpan w:val="5"/>
          </w:tcPr>
          <w:p>
            <w:pPr>
              <w:ind w:left="180"/>
              <w:spacing w:after="0"/>
              <w:rPr>
                <w:sz w:val="20"/>
                <w:szCs w:val="20"/>
                <w:color w:val="auto"/>
              </w:rPr>
            </w:pPr>
            <w:r>
              <w:rPr>
                <w:rFonts w:ascii="Arial" w:cs="Arial" w:eastAsia="Arial" w:hAnsi="Arial"/>
                <w:sz w:val="18"/>
                <w:szCs w:val="18"/>
                <w:color w:val="auto"/>
              </w:rPr>
              <w:t>Consolidated Statements of Cash Flows for each of the three years in the period ended December 31, 2009</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600" w:type="dxa"/>
            <w:vAlign w:val="bottom"/>
          </w:tcPr>
          <w:p>
            <w:pPr>
              <w:spacing w:after="0"/>
              <w:rPr>
                <w:sz w:val="18"/>
                <w:szCs w:val="18"/>
                <w:color w:val="auto"/>
              </w:rPr>
            </w:pPr>
          </w:p>
        </w:tc>
      </w:tr>
      <w:tr>
        <w:trPr>
          <w:trHeight w:val="216"/>
        </w:trPr>
        <w:tc>
          <w:tcPr>
            <w:tcW w:w="10380" w:type="dxa"/>
            <w:vAlign w:val="bottom"/>
            <w:gridSpan w:val="5"/>
          </w:tcPr>
          <w:p>
            <w:pPr>
              <w:ind w:left="180"/>
              <w:spacing w:after="0"/>
              <w:rPr>
                <w:sz w:val="20"/>
                <w:szCs w:val="20"/>
                <w:color w:val="auto"/>
              </w:rPr>
            </w:pPr>
            <w:r>
              <w:rPr>
                <w:rFonts w:ascii="Arial" w:cs="Arial" w:eastAsia="Arial" w:hAnsi="Arial"/>
                <w:sz w:val="18"/>
                <w:szCs w:val="18"/>
                <w:color w:val="auto"/>
              </w:rPr>
              <w:t>Consolidated Statements of Stockholders’ Equity for each of the three years in the period ended December 31, 2009</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600" w:type="dxa"/>
            <w:vAlign w:val="bottom"/>
          </w:tcPr>
          <w:p>
            <w:pPr>
              <w:spacing w:after="0"/>
              <w:rPr>
                <w:sz w:val="18"/>
                <w:szCs w:val="18"/>
                <w:color w:val="auto"/>
              </w:rPr>
            </w:pPr>
          </w:p>
        </w:tc>
      </w:tr>
      <w:tr>
        <w:trPr>
          <w:trHeight w:val="216"/>
        </w:trPr>
        <w:tc>
          <w:tcPr>
            <w:tcW w:w="10380" w:type="dxa"/>
            <w:vAlign w:val="bottom"/>
            <w:gridSpan w:val="5"/>
          </w:tcPr>
          <w:p>
            <w:pPr>
              <w:ind w:left="180"/>
              <w:spacing w:after="0"/>
              <w:rPr>
                <w:sz w:val="20"/>
                <w:szCs w:val="20"/>
                <w:color w:val="auto"/>
              </w:rPr>
            </w:pPr>
            <w:r>
              <w:rPr>
                <w:rFonts w:ascii="Arial" w:cs="Arial" w:eastAsia="Arial" w:hAnsi="Arial"/>
                <w:sz w:val="18"/>
                <w:szCs w:val="18"/>
                <w:color w:val="auto"/>
              </w:rPr>
              <w:t>Notes to Consolidated Financial Statements</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600" w:type="dxa"/>
            <w:vAlign w:val="bottom"/>
          </w:tcPr>
          <w:p>
            <w:pPr>
              <w:spacing w:after="0"/>
              <w:rPr>
                <w:sz w:val="18"/>
                <w:szCs w:val="18"/>
                <w:color w:val="auto"/>
              </w:rPr>
            </w:pPr>
          </w:p>
        </w:tc>
      </w:tr>
      <w:tr>
        <w:trPr>
          <w:trHeight w:val="230"/>
        </w:trPr>
        <w:tc>
          <w:tcPr>
            <w:tcW w:w="10380" w:type="dxa"/>
            <w:vAlign w:val="bottom"/>
            <w:gridSpan w:val="5"/>
          </w:tcPr>
          <w:p>
            <w:pPr>
              <w:ind w:left="180"/>
              <w:spacing w:after="0"/>
              <w:rPr>
                <w:sz w:val="20"/>
                <w:szCs w:val="20"/>
                <w:color w:val="auto"/>
              </w:rPr>
            </w:pPr>
            <w:r>
              <w:rPr>
                <w:rFonts w:ascii="Arial" w:cs="Arial" w:eastAsia="Arial" w:hAnsi="Arial"/>
                <w:sz w:val="18"/>
                <w:szCs w:val="18"/>
                <w:color w:val="auto"/>
              </w:rPr>
              <w:t>(2) Schedule II - Valuation and Qualifying Accounts</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600" w:type="dxa"/>
            <w:vAlign w:val="bottom"/>
          </w:tcPr>
          <w:p>
            <w:pPr>
              <w:spacing w:after="0"/>
              <w:rPr>
                <w:sz w:val="20"/>
                <w:szCs w:val="20"/>
                <w:color w:val="auto"/>
              </w:rPr>
            </w:pPr>
          </w:p>
        </w:tc>
      </w:tr>
      <w:tr>
        <w:trPr>
          <w:trHeight w:val="459"/>
        </w:trPr>
        <w:tc>
          <w:tcPr>
            <w:tcW w:w="1500" w:type="dxa"/>
            <w:vAlign w:val="bottom"/>
            <w:gridSpan w:val="2"/>
          </w:tcPr>
          <w:p>
            <w:pPr>
              <w:ind w:left="180"/>
              <w:spacing w:after="0"/>
              <w:rPr>
                <w:sz w:val="20"/>
                <w:szCs w:val="20"/>
                <w:color w:val="auto"/>
              </w:rPr>
            </w:pPr>
            <w:r>
              <w:rPr>
                <w:rFonts w:ascii="Arial" w:cs="Arial" w:eastAsia="Arial" w:hAnsi="Arial"/>
                <w:sz w:val="18"/>
                <w:szCs w:val="18"/>
                <w:color w:val="auto"/>
              </w:rPr>
              <w:t>(3) Exhibits:</w:t>
            </w:r>
          </w:p>
        </w:tc>
        <w:tc>
          <w:tcPr>
            <w:tcW w:w="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59"/>
        </w:trPr>
        <w:tc>
          <w:tcPr>
            <w:tcW w:w="420" w:type="dxa"/>
            <w:vAlign w:val="bottom"/>
          </w:tcPr>
          <w:p>
            <w:pPr>
              <w:spacing w:after="0"/>
              <w:rPr>
                <w:sz w:val="24"/>
                <w:szCs w:val="24"/>
                <w:color w:val="auto"/>
              </w:rPr>
            </w:pPr>
          </w:p>
        </w:tc>
        <w:tc>
          <w:tcPr>
            <w:tcW w:w="9960" w:type="dxa"/>
            <w:vAlign w:val="bottom"/>
            <w:gridSpan w:val="4"/>
          </w:tcPr>
          <w:p>
            <w:pPr>
              <w:ind w:left="80"/>
              <w:spacing w:after="0"/>
              <w:rPr>
                <w:sz w:val="20"/>
                <w:szCs w:val="20"/>
                <w:color w:val="auto"/>
              </w:rPr>
            </w:pPr>
            <w:r>
              <w:rPr>
                <w:rFonts w:ascii="Arial" w:cs="Arial" w:eastAsia="Arial" w:hAnsi="Arial"/>
                <w:sz w:val="18"/>
                <w:szCs w:val="18"/>
                <w:color w:val="auto"/>
              </w:rPr>
              <w:t>The exhibits listed below are filed with or incorporated by reference in this report.</w:t>
            </w: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66"/>
        </w:trPr>
        <w:tc>
          <w:tcPr>
            <w:tcW w:w="4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320" w:type="dxa"/>
            <w:vAlign w:val="bottom"/>
          </w:tcPr>
          <w:p>
            <w:pPr>
              <w:spacing w:after="0"/>
              <w:rPr>
                <w:sz w:val="24"/>
                <w:szCs w:val="24"/>
                <w:color w:val="auto"/>
              </w:rPr>
            </w:pPr>
          </w:p>
        </w:tc>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Description of Exhibit</w:t>
            </w: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02"/>
        </w:trPr>
        <w:tc>
          <w:tcPr>
            <w:tcW w:w="420" w:type="dxa"/>
            <w:vAlign w:val="bottom"/>
          </w:tcPr>
          <w:p>
            <w:pPr>
              <w:spacing w:after="0"/>
              <w:rPr>
                <w:sz w:val="17"/>
                <w:szCs w:val="17"/>
                <w:color w:val="auto"/>
              </w:rPr>
            </w:pPr>
          </w:p>
        </w:tc>
        <w:tc>
          <w:tcPr>
            <w:tcW w:w="10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3.1</w:t>
            </w:r>
          </w:p>
        </w:tc>
        <w:tc>
          <w:tcPr>
            <w:tcW w:w="320" w:type="dxa"/>
            <w:vAlign w:val="bottom"/>
          </w:tcPr>
          <w:p>
            <w:pPr>
              <w:spacing w:after="0"/>
              <w:rPr>
                <w:sz w:val="17"/>
                <w:szCs w:val="17"/>
                <w:color w:val="auto"/>
              </w:rPr>
            </w:pPr>
          </w:p>
        </w:tc>
        <w:tc>
          <w:tcPr>
            <w:tcW w:w="2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3"/>
              </w:rPr>
              <w:t>Amended and Restated Articles</w:t>
            </w:r>
          </w:p>
        </w:tc>
        <w:tc>
          <w:tcPr>
            <w:tcW w:w="7480" w:type="dxa"/>
            <w:vAlign w:val="bottom"/>
            <w:gridSpan w:val="3"/>
          </w:tcPr>
          <w:p>
            <w:pPr>
              <w:ind w:left="180"/>
              <w:spacing w:after="0" w:line="201" w:lineRule="exact"/>
              <w:rPr>
                <w:sz w:val="20"/>
                <w:szCs w:val="20"/>
                <w:color w:val="auto"/>
              </w:rPr>
            </w:pPr>
            <w:r>
              <w:rPr>
                <w:rFonts w:ascii="Arial" w:cs="Arial" w:eastAsia="Arial" w:hAnsi="Arial"/>
                <w:sz w:val="18"/>
                <w:szCs w:val="18"/>
                <w:color w:val="auto"/>
                <w:w w:val="94"/>
              </w:rPr>
              <w:t>of Organization, as amended (filed as Exhibit 3.1 to the Company’s Form 10-K for the year ended</w:t>
            </w:r>
          </w:p>
        </w:tc>
      </w:tr>
      <w:tr>
        <w:trPr>
          <w:trHeight w:val="216"/>
        </w:trPr>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December 31, 2008 and incorporated herein by reference).</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9620" w:type="dxa"/>
            <w:vAlign w:val="bottom"/>
            <w:gridSpan w:val="4"/>
          </w:tcPr>
          <w:p>
            <w:pPr>
              <w:spacing w:after="0"/>
              <w:rPr>
                <w:sz w:val="20"/>
                <w:szCs w:val="20"/>
                <w:color w:val="auto"/>
              </w:rPr>
            </w:pPr>
            <w:r>
              <w:rPr>
                <w:rFonts w:ascii="Arial" w:cs="Arial" w:eastAsia="Arial" w:hAnsi="Arial"/>
                <w:sz w:val="18"/>
                <w:szCs w:val="18"/>
                <w:color w:val="auto"/>
              </w:rPr>
              <w:t>Amended and Restated By-Laws (filed as Exhibit 3.1 to the Company’s Form 8-K filed with the Securities and Exchange</w:t>
            </w:r>
          </w:p>
        </w:tc>
      </w:tr>
      <w:tr>
        <w:trPr>
          <w:trHeight w:val="216"/>
        </w:trPr>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Commission on December 10, 2007 and incorporated herein by reference).</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18"/>
                <w:szCs w:val="18"/>
                <w:color w:val="auto"/>
              </w:rPr>
            </w:pPr>
          </w:p>
        </w:tc>
        <w:tc>
          <w:tcPr>
            <w:tcW w:w="9620" w:type="dxa"/>
            <w:vAlign w:val="bottom"/>
            <w:gridSpan w:val="4"/>
          </w:tcPr>
          <w:p>
            <w:pPr>
              <w:spacing w:after="0"/>
              <w:rPr>
                <w:sz w:val="20"/>
                <w:szCs w:val="20"/>
                <w:color w:val="auto"/>
              </w:rPr>
            </w:pPr>
            <w:r>
              <w:rPr>
                <w:rFonts w:ascii="Arial" w:cs="Arial" w:eastAsia="Arial" w:hAnsi="Arial"/>
                <w:sz w:val="18"/>
                <w:szCs w:val="18"/>
                <w:color w:val="auto"/>
                <w:w w:val="92"/>
              </w:rPr>
              <w:t>Rights Agreement dated as of October 2, 2001 between Aware, Inc. and Equiserve Trust Company, N.A., as Rights Agent (filed as</w:t>
            </w:r>
          </w:p>
        </w:tc>
      </w:tr>
      <w:tr>
        <w:trPr>
          <w:trHeight w:val="216"/>
        </w:trPr>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20" w:type="dxa"/>
            <w:vAlign w:val="bottom"/>
            <w:gridSpan w:val="4"/>
          </w:tcPr>
          <w:p>
            <w:pPr>
              <w:spacing w:after="0"/>
              <w:rPr>
                <w:sz w:val="20"/>
                <w:szCs w:val="20"/>
                <w:color w:val="auto"/>
              </w:rPr>
            </w:pPr>
            <w:r>
              <w:rPr>
                <w:rFonts w:ascii="Arial" w:cs="Arial" w:eastAsia="Arial" w:hAnsi="Arial"/>
                <w:sz w:val="18"/>
                <w:szCs w:val="18"/>
                <w:color w:val="auto"/>
                <w:w w:val="93"/>
              </w:rPr>
              <w:t>Exhibit 4(a) to the Company’s Form 8-K filed with the Securities and Exchange Commission on October 3, 2001 and incorporated</w:t>
            </w:r>
          </w:p>
        </w:tc>
      </w:tr>
      <w:tr>
        <w:trPr>
          <w:trHeight w:val="216"/>
        </w:trPr>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herein by reference).</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8"/>
                <w:szCs w:val="18"/>
                <w:color w:val="auto"/>
              </w:rPr>
            </w:pPr>
          </w:p>
        </w:tc>
        <w:tc>
          <w:tcPr>
            <w:tcW w:w="9620" w:type="dxa"/>
            <w:vAlign w:val="bottom"/>
            <w:gridSpan w:val="4"/>
          </w:tcPr>
          <w:p>
            <w:pPr>
              <w:spacing w:after="0"/>
              <w:rPr>
                <w:sz w:val="20"/>
                <w:szCs w:val="20"/>
                <w:color w:val="auto"/>
              </w:rPr>
            </w:pPr>
            <w:r>
              <w:rPr>
                <w:rFonts w:ascii="Arial" w:cs="Arial" w:eastAsia="Arial" w:hAnsi="Arial"/>
                <w:sz w:val="18"/>
                <w:szCs w:val="18"/>
                <w:color w:val="auto"/>
                <w:w w:val="93"/>
              </w:rPr>
              <w:t>Terms of Series A Participating Cumulative Preferred Stock of Aware, Inc. (attached as Exhibit A to the Rights Agreement filed as</w:t>
            </w:r>
          </w:p>
        </w:tc>
      </w:tr>
      <w:tr>
        <w:trPr>
          <w:trHeight w:val="216"/>
        </w:trPr>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Exhibit 4.1 hereto).</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Form of Right Certificate (attached as Exhibit B to the Rights Agreement filed as Exhibit 4.1 hereto).</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8"/>
                <w:szCs w:val="18"/>
                <w:color w:val="auto"/>
              </w:rPr>
            </w:pPr>
          </w:p>
        </w:tc>
        <w:tc>
          <w:tcPr>
            <w:tcW w:w="9620" w:type="dxa"/>
            <w:vAlign w:val="bottom"/>
            <w:gridSpan w:val="4"/>
          </w:tcPr>
          <w:p>
            <w:pPr>
              <w:spacing w:after="0"/>
              <w:rPr>
                <w:sz w:val="20"/>
                <w:szCs w:val="20"/>
                <w:color w:val="auto"/>
              </w:rPr>
            </w:pPr>
            <w:r>
              <w:rPr>
                <w:rFonts w:ascii="Arial" w:cs="Arial" w:eastAsia="Arial" w:hAnsi="Arial"/>
                <w:sz w:val="18"/>
                <w:szCs w:val="18"/>
                <w:color w:val="auto"/>
                <w:w w:val="90"/>
              </w:rPr>
              <w:t>Amendment No. 1 to Rights Agreement dated September 6, 2007 between Aware, Inc. and Computershare Trust Company, N.A., as</w:t>
            </w:r>
          </w:p>
        </w:tc>
      </w:tr>
      <w:tr>
        <w:trPr>
          <w:trHeight w:val="216"/>
        </w:trPr>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20" w:type="dxa"/>
            <w:vAlign w:val="bottom"/>
            <w:gridSpan w:val="4"/>
          </w:tcPr>
          <w:p>
            <w:pPr>
              <w:spacing w:after="0"/>
              <w:rPr>
                <w:sz w:val="20"/>
                <w:szCs w:val="20"/>
                <w:color w:val="auto"/>
              </w:rPr>
            </w:pPr>
            <w:r>
              <w:rPr>
                <w:rFonts w:ascii="Arial" w:cs="Arial" w:eastAsia="Arial" w:hAnsi="Arial"/>
                <w:sz w:val="18"/>
                <w:szCs w:val="18"/>
                <w:color w:val="auto"/>
                <w:w w:val="92"/>
              </w:rPr>
              <w:t>Rights Agent (filed as Exhibit 4.1 to the Company’s Form 8-K filed with the Securities and Exchange Commission on September 7,</w:t>
            </w:r>
          </w:p>
        </w:tc>
      </w:tr>
      <w:tr>
        <w:trPr>
          <w:trHeight w:val="216"/>
        </w:trPr>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2007 and incorporated herein by reference).</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18"/>
                <w:szCs w:val="18"/>
                <w:color w:val="auto"/>
              </w:rPr>
            </w:pPr>
          </w:p>
        </w:tc>
        <w:tc>
          <w:tcPr>
            <w:tcW w:w="9620" w:type="dxa"/>
            <w:vAlign w:val="bottom"/>
            <w:gridSpan w:val="4"/>
          </w:tcPr>
          <w:p>
            <w:pPr>
              <w:spacing w:after="0"/>
              <w:rPr>
                <w:sz w:val="20"/>
                <w:szCs w:val="20"/>
                <w:color w:val="auto"/>
              </w:rPr>
            </w:pPr>
            <w:r>
              <w:rPr>
                <w:rFonts w:ascii="Arial" w:cs="Arial" w:eastAsia="Arial" w:hAnsi="Arial"/>
                <w:sz w:val="18"/>
                <w:szCs w:val="18"/>
                <w:color w:val="auto"/>
                <w:w w:val="94"/>
              </w:rPr>
              <w:t>1996 Stock Option Plan, as amended and restated (filed as Annex A to the Company’s Definitive Proxy Statement filed with the</w:t>
            </w:r>
          </w:p>
        </w:tc>
      </w:tr>
      <w:tr>
        <w:trPr>
          <w:trHeight w:val="216"/>
        </w:trPr>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Securities and Exchange Commission on April 11, 2000 and incorporated herein by reference).</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18"/>
                <w:szCs w:val="18"/>
                <w:color w:val="auto"/>
              </w:rPr>
            </w:pPr>
          </w:p>
        </w:tc>
        <w:tc>
          <w:tcPr>
            <w:tcW w:w="9620" w:type="dxa"/>
            <w:vAlign w:val="bottom"/>
            <w:gridSpan w:val="4"/>
          </w:tcPr>
          <w:p>
            <w:pPr>
              <w:spacing w:after="0"/>
              <w:rPr>
                <w:sz w:val="20"/>
                <w:szCs w:val="20"/>
                <w:color w:val="auto"/>
              </w:rPr>
            </w:pPr>
            <w:r>
              <w:rPr>
                <w:rFonts w:ascii="Arial" w:cs="Arial" w:eastAsia="Arial" w:hAnsi="Arial"/>
                <w:sz w:val="18"/>
                <w:szCs w:val="18"/>
                <w:color w:val="auto"/>
                <w:w w:val="91"/>
              </w:rPr>
              <w:t>1996 Employee Stock Purchase Plan, as amended and restated (filed as Exhibit 99.1 to the Company’s Current Report on Form 8-K</w:t>
            </w:r>
          </w:p>
        </w:tc>
      </w:tr>
      <w:tr>
        <w:trPr>
          <w:trHeight w:val="216"/>
        </w:trPr>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w w:val="94"/>
              </w:rPr>
              <w:t>filed with the Securities and Exchange Commission on November 29, 2005 and incorporated herein by reference).</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18"/>
                <w:szCs w:val="18"/>
                <w:color w:val="auto"/>
              </w:rPr>
            </w:pPr>
          </w:p>
        </w:tc>
        <w:tc>
          <w:tcPr>
            <w:tcW w:w="9620" w:type="dxa"/>
            <w:vAlign w:val="bottom"/>
            <w:gridSpan w:val="4"/>
          </w:tcPr>
          <w:p>
            <w:pPr>
              <w:spacing w:after="0"/>
              <w:rPr>
                <w:sz w:val="20"/>
                <w:szCs w:val="20"/>
                <w:color w:val="auto"/>
              </w:rPr>
            </w:pPr>
            <w:r>
              <w:rPr>
                <w:rFonts w:ascii="Arial" w:cs="Arial" w:eastAsia="Arial" w:hAnsi="Arial"/>
                <w:sz w:val="18"/>
                <w:szCs w:val="18"/>
                <w:color w:val="auto"/>
                <w:w w:val="96"/>
              </w:rPr>
              <w:t>Form of Director and Officer Indemnification Agreement (filed as Exhibit 10.4 to the Company’s Form 10-K for the year ended</w:t>
            </w:r>
          </w:p>
        </w:tc>
      </w:tr>
      <w:tr>
        <w:trPr>
          <w:trHeight w:val="216"/>
        </w:trPr>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December 31, 2002 and incorporated herein by reference).</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18"/>
                <w:szCs w:val="18"/>
                <w:color w:val="auto"/>
              </w:rPr>
            </w:pPr>
          </w:p>
        </w:tc>
        <w:tc>
          <w:tcPr>
            <w:tcW w:w="9620" w:type="dxa"/>
            <w:vAlign w:val="bottom"/>
            <w:gridSpan w:val="4"/>
          </w:tcPr>
          <w:p>
            <w:pPr>
              <w:spacing w:after="0"/>
              <w:rPr>
                <w:sz w:val="20"/>
                <w:szCs w:val="20"/>
                <w:color w:val="auto"/>
              </w:rPr>
            </w:pPr>
            <w:r>
              <w:rPr>
                <w:rFonts w:ascii="Arial" w:cs="Arial" w:eastAsia="Arial" w:hAnsi="Arial"/>
                <w:sz w:val="18"/>
                <w:szCs w:val="18"/>
                <w:color w:val="auto"/>
                <w:w w:val="96"/>
              </w:rPr>
              <w:t>2001 Nonqualified Stock Plan (filed as Exhibit 99(d)(4) to the Company’s Schedule TO filed with the Securities and Exchange</w:t>
            </w:r>
          </w:p>
        </w:tc>
      </w:tr>
      <w:tr>
        <w:trPr>
          <w:trHeight w:val="216"/>
        </w:trPr>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Commission on March 3, 2003 and incorporated herein by reference).</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1500" w:type="dxa"/>
            <w:vAlign w:val="bottom"/>
            <w:gridSpan w:val="2"/>
          </w:tcPr>
          <w:p>
            <w:pPr>
              <w:ind w:left="420"/>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18"/>
                <w:szCs w:val="18"/>
                <w:color w:val="auto"/>
              </w:rPr>
            </w:pPr>
          </w:p>
        </w:tc>
        <w:tc>
          <w:tcPr>
            <w:tcW w:w="9620" w:type="dxa"/>
            <w:vAlign w:val="bottom"/>
            <w:gridSpan w:val="4"/>
          </w:tcPr>
          <w:p>
            <w:pPr>
              <w:spacing w:after="0"/>
              <w:rPr>
                <w:sz w:val="20"/>
                <w:szCs w:val="20"/>
                <w:color w:val="auto"/>
              </w:rPr>
            </w:pPr>
            <w:r>
              <w:rPr>
                <w:rFonts w:ascii="Arial" w:cs="Arial" w:eastAsia="Arial" w:hAnsi="Arial"/>
                <w:sz w:val="18"/>
                <w:szCs w:val="18"/>
                <w:color w:val="auto"/>
                <w:w w:val="91"/>
              </w:rPr>
              <w:t>Form of Nonqualified Stock Option Agreement under the 2001 Nonqualified Stock Plan for options granted to executive officers and</w:t>
            </w:r>
          </w:p>
        </w:tc>
      </w:tr>
      <w:tr>
        <w:trPr>
          <w:trHeight w:val="216"/>
        </w:trPr>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20" w:type="dxa"/>
            <w:vAlign w:val="bottom"/>
            <w:gridSpan w:val="4"/>
          </w:tcPr>
          <w:p>
            <w:pPr>
              <w:spacing w:after="0"/>
              <w:rPr>
                <w:sz w:val="20"/>
                <w:szCs w:val="20"/>
                <w:color w:val="auto"/>
              </w:rPr>
            </w:pPr>
            <w:r>
              <w:rPr>
                <w:rFonts w:ascii="Arial" w:cs="Arial" w:eastAsia="Arial" w:hAnsi="Arial"/>
                <w:sz w:val="18"/>
                <w:szCs w:val="18"/>
                <w:color w:val="auto"/>
                <w:w w:val="99"/>
              </w:rPr>
              <w:t>directors prior to May 21, 2008 (filed as Exhibit 10.6 to Company’s Form 10-K for the year ended December 31, 2006 and</w:t>
            </w:r>
          </w:p>
        </w:tc>
      </w:tr>
      <w:tr>
        <w:trPr>
          <w:trHeight w:val="230"/>
        </w:trPr>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incorporated herein by reference).</w:t>
            </w: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702"/>
        </w:trPr>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80" w:type="dxa"/>
            <w:vAlign w:val="bottom"/>
            <w:gridSpan w:val="3"/>
          </w:tcPr>
          <w:p>
            <w:pPr>
              <w:jc w:val="right"/>
              <w:ind w:right="4490"/>
              <w:spacing w:after="0"/>
              <w:rPr>
                <w:sz w:val="20"/>
                <w:szCs w:val="20"/>
                <w:color w:val="auto"/>
              </w:rPr>
            </w:pPr>
            <w:r>
              <w:rPr>
                <w:rFonts w:ascii="Arial" w:cs="Arial" w:eastAsia="Arial" w:hAnsi="Arial"/>
                <w:sz w:val="18"/>
                <w:szCs w:val="18"/>
                <w:color w:val="auto"/>
              </w:rPr>
              <w:t>55</w:t>
            </w: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18"/>
        </w:trPr>
        <w:tc>
          <w:tcPr>
            <w:tcW w:w="4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140" w:type="dxa"/>
            <w:vAlign w:val="bottom"/>
            <w:tcBorders>
              <w:bottom w:val="single" w:sz="8" w:color="808080"/>
            </w:tcBorders>
          </w:tcPr>
          <w:p>
            <w:pPr>
              <w:spacing w:after="0"/>
              <w:rPr>
                <w:sz w:val="10"/>
                <w:szCs w:val="10"/>
                <w:color w:val="auto"/>
              </w:rPr>
            </w:pPr>
          </w:p>
        </w:tc>
        <w:tc>
          <w:tcPr>
            <w:tcW w:w="642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07" w:right="219" w:bottom="1440" w:gutter="0" w:footer="0" w:header="0"/>
        </w:sectPr>
      </w:pPr>
    </w:p>
    <w:bookmarkStart w:id="55" w:name="page56"/>
    <w:bookmarkEnd w:id="55"/>
    <w:tbl>
      <w:tblPr>
        <w:tblLayout w:type="fixed"/>
        <w:tblInd w:w="46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10.6*</w:t>
            </w:r>
          </w:p>
        </w:tc>
        <w:tc>
          <w:tcPr>
            <w:tcW w:w="10000" w:type="dxa"/>
            <w:vAlign w:val="bottom"/>
          </w:tcPr>
          <w:p>
            <w:pPr>
              <w:ind w:left="540"/>
              <w:spacing w:after="0"/>
              <w:rPr>
                <w:sz w:val="20"/>
                <w:szCs w:val="20"/>
                <w:color w:val="auto"/>
              </w:rPr>
            </w:pPr>
            <w:r>
              <w:rPr>
                <w:rFonts w:ascii="Arial" w:cs="Arial" w:eastAsia="Arial" w:hAnsi="Arial"/>
                <w:sz w:val="18"/>
                <w:szCs w:val="18"/>
                <w:color w:val="auto"/>
                <w:w w:val="93"/>
              </w:rPr>
              <w:t>Form of Nonqualified Stock Option Agreement under the 2001 Nonqualified Stock Plan for options granted to executive officers</w:t>
            </w:r>
          </w:p>
        </w:tc>
      </w:tr>
      <w:tr>
        <w:trPr>
          <w:trHeight w:val="216"/>
        </w:trPr>
        <w:tc>
          <w:tcPr>
            <w:tcW w:w="960" w:type="dxa"/>
            <w:vAlign w:val="bottom"/>
          </w:tcPr>
          <w:p>
            <w:pPr>
              <w:spacing w:after="0"/>
              <w:rPr>
                <w:sz w:val="18"/>
                <w:szCs w:val="18"/>
                <w:color w:val="auto"/>
              </w:rPr>
            </w:pPr>
          </w:p>
        </w:tc>
        <w:tc>
          <w:tcPr>
            <w:tcW w:w="10000" w:type="dxa"/>
            <w:vAlign w:val="bottom"/>
          </w:tcPr>
          <w:p>
            <w:pPr>
              <w:ind w:left="540"/>
              <w:spacing w:after="0"/>
              <w:rPr>
                <w:sz w:val="20"/>
                <w:szCs w:val="20"/>
                <w:color w:val="auto"/>
              </w:rPr>
            </w:pPr>
            <w:r>
              <w:rPr>
                <w:rFonts w:ascii="Arial" w:cs="Arial" w:eastAsia="Arial" w:hAnsi="Arial"/>
                <w:sz w:val="18"/>
                <w:szCs w:val="18"/>
                <w:color w:val="auto"/>
                <w:w w:val="91"/>
              </w:rPr>
              <w:t>and directors from and after May 21, 2008 (filed as Exhibit 10.8 to Company’s Form 8-K on May 22, 2008 and incorporated herein</w:t>
            </w:r>
          </w:p>
        </w:tc>
      </w:tr>
      <w:tr>
        <w:trPr>
          <w:trHeight w:val="216"/>
        </w:trPr>
        <w:tc>
          <w:tcPr>
            <w:tcW w:w="960" w:type="dxa"/>
            <w:vAlign w:val="bottom"/>
          </w:tcPr>
          <w:p>
            <w:pPr>
              <w:spacing w:after="0"/>
              <w:rPr>
                <w:sz w:val="18"/>
                <w:szCs w:val="18"/>
                <w:color w:val="auto"/>
              </w:rPr>
            </w:pPr>
          </w:p>
        </w:tc>
        <w:tc>
          <w:tcPr>
            <w:tcW w:w="10000" w:type="dxa"/>
            <w:vAlign w:val="bottom"/>
          </w:tcPr>
          <w:p>
            <w:pPr>
              <w:ind w:left="540"/>
              <w:spacing w:after="0"/>
              <w:rPr>
                <w:sz w:val="20"/>
                <w:szCs w:val="20"/>
                <w:color w:val="auto"/>
              </w:rPr>
            </w:pPr>
            <w:r>
              <w:rPr>
                <w:rFonts w:ascii="Arial" w:cs="Arial" w:eastAsia="Arial" w:hAnsi="Arial"/>
                <w:sz w:val="18"/>
                <w:szCs w:val="18"/>
                <w:color w:val="auto"/>
              </w:rPr>
              <w:t>by reference)</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10.7*</w:t>
            </w:r>
          </w:p>
        </w:tc>
        <w:tc>
          <w:tcPr>
            <w:tcW w:w="10000" w:type="dxa"/>
            <w:vAlign w:val="bottom"/>
          </w:tcPr>
          <w:p>
            <w:pPr>
              <w:ind w:left="540"/>
              <w:spacing w:after="0"/>
              <w:rPr>
                <w:sz w:val="20"/>
                <w:szCs w:val="20"/>
                <w:color w:val="auto"/>
              </w:rPr>
            </w:pPr>
            <w:r>
              <w:rPr>
                <w:rFonts w:ascii="Arial" w:cs="Arial" w:eastAsia="Arial" w:hAnsi="Arial"/>
                <w:sz w:val="18"/>
                <w:szCs w:val="18"/>
                <w:color w:val="auto"/>
                <w:w w:val="92"/>
              </w:rPr>
              <w:t>Offer letter dated December 17, 2007 by and between Richard Moberg and Aware, Inc. (filed as Exhibit 99.2 to Company’s Form</w:t>
            </w:r>
          </w:p>
        </w:tc>
      </w:tr>
      <w:tr>
        <w:trPr>
          <w:trHeight w:val="216"/>
        </w:trPr>
        <w:tc>
          <w:tcPr>
            <w:tcW w:w="960" w:type="dxa"/>
            <w:vAlign w:val="bottom"/>
          </w:tcPr>
          <w:p>
            <w:pPr>
              <w:spacing w:after="0"/>
              <w:rPr>
                <w:sz w:val="18"/>
                <w:szCs w:val="18"/>
                <w:color w:val="auto"/>
              </w:rPr>
            </w:pPr>
          </w:p>
        </w:tc>
        <w:tc>
          <w:tcPr>
            <w:tcW w:w="10000" w:type="dxa"/>
            <w:vAlign w:val="bottom"/>
          </w:tcPr>
          <w:p>
            <w:pPr>
              <w:ind w:left="540"/>
              <w:spacing w:after="0"/>
              <w:rPr>
                <w:sz w:val="20"/>
                <w:szCs w:val="20"/>
                <w:color w:val="auto"/>
              </w:rPr>
            </w:pPr>
            <w:r>
              <w:rPr>
                <w:rFonts w:ascii="Arial" w:cs="Arial" w:eastAsia="Arial" w:hAnsi="Arial"/>
                <w:sz w:val="18"/>
                <w:szCs w:val="18"/>
                <w:color w:val="auto"/>
              </w:rPr>
              <w:t>8-K filed with the Securities and Exchange Commission on December 18, 2007 and incorporated herein by reference).</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10.8</w:t>
            </w:r>
          </w:p>
        </w:tc>
        <w:tc>
          <w:tcPr>
            <w:tcW w:w="10000" w:type="dxa"/>
            <w:vAlign w:val="bottom"/>
          </w:tcPr>
          <w:p>
            <w:pPr>
              <w:ind w:left="540"/>
              <w:spacing w:after="0"/>
              <w:rPr>
                <w:sz w:val="20"/>
                <w:szCs w:val="20"/>
                <w:color w:val="auto"/>
              </w:rPr>
            </w:pPr>
            <w:r>
              <w:rPr>
                <w:rFonts w:ascii="Arial" w:cs="Arial" w:eastAsia="Arial" w:hAnsi="Arial"/>
                <w:sz w:val="18"/>
                <w:szCs w:val="18"/>
                <w:color w:val="auto"/>
                <w:w w:val="91"/>
              </w:rPr>
              <w:t>Asset Purchase Agreement by and between Aware, Inc. and Lantiq Broadband Holdco, Inc. and Lantiq Deutschland GmbH dated</w:t>
            </w:r>
          </w:p>
        </w:tc>
      </w:tr>
      <w:tr>
        <w:trPr>
          <w:trHeight w:val="216"/>
        </w:trPr>
        <w:tc>
          <w:tcPr>
            <w:tcW w:w="960" w:type="dxa"/>
            <w:vAlign w:val="bottom"/>
          </w:tcPr>
          <w:p>
            <w:pPr>
              <w:spacing w:after="0"/>
              <w:rPr>
                <w:sz w:val="18"/>
                <w:szCs w:val="18"/>
                <w:color w:val="auto"/>
              </w:rPr>
            </w:pPr>
          </w:p>
        </w:tc>
        <w:tc>
          <w:tcPr>
            <w:tcW w:w="10000" w:type="dxa"/>
            <w:vAlign w:val="bottom"/>
          </w:tcPr>
          <w:p>
            <w:pPr>
              <w:ind w:left="540"/>
              <w:spacing w:after="0"/>
              <w:rPr>
                <w:sz w:val="20"/>
                <w:szCs w:val="20"/>
                <w:color w:val="auto"/>
              </w:rPr>
            </w:pPr>
            <w:r>
              <w:rPr>
                <w:rFonts w:ascii="Arial" w:cs="Arial" w:eastAsia="Arial" w:hAnsi="Arial"/>
                <w:sz w:val="18"/>
                <w:szCs w:val="18"/>
                <w:color w:val="auto"/>
              </w:rPr>
              <w:t>October 14, 2009.</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21.1</w:t>
            </w:r>
          </w:p>
        </w:tc>
        <w:tc>
          <w:tcPr>
            <w:tcW w:w="10000" w:type="dxa"/>
            <w:vAlign w:val="bottom"/>
          </w:tcPr>
          <w:p>
            <w:pPr>
              <w:ind w:left="540"/>
              <w:spacing w:after="0"/>
              <w:rPr>
                <w:sz w:val="20"/>
                <w:szCs w:val="20"/>
                <w:color w:val="auto"/>
              </w:rPr>
            </w:pPr>
            <w:r>
              <w:rPr>
                <w:rFonts w:ascii="Arial" w:cs="Arial" w:eastAsia="Arial" w:hAnsi="Arial"/>
                <w:sz w:val="18"/>
                <w:szCs w:val="18"/>
                <w:color w:val="auto"/>
              </w:rPr>
              <w:t>Subsidiaries of Registrant.</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23.1</w:t>
            </w:r>
          </w:p>
        </w:tc>
        <w:tc>
          <w:tcPr>
            <w:tcW w:w="10000" w:type="dxa"/>
            <w:vAlign w:val="bottom"/>
          </w:tcPr>
          <w:p>
            <w:pPr>
              <w:ind w:left="5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31.1</w:t>
            </w:r>
          </w:p>
        </w:tc>
        <w:tc>
          <w:tcPr>
            <w:tcW w:w="10000" w:type="dxa"/>
            <w:vAlign w:val="bottom"/>
          </w:tcPr>
          <w:p>
            <w:pPr>
              <w:ind w:left="54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31.2</w:t>
            </w:r>
          </w:p>
        </w:tc>
        <w:tc>
          <w:tcPr>
            <w:tcW w:w="10000" w:type="dxa"/>
            <w:vAlign w:val="bottom"/>
          </w:tcPr>
          <w:p>
            <w:pPr>
              <w:ind w:left="54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32.1</w:t>
            </w:r>
          </w:p>
        </w:tc>
        <w:tc>
          <w:tcPr>
            <w:tcW w:w="10000" w:type="dxa"/>
            <w:vAlign w:val="bottom"/>
          </w:tcPr>
          <w:p>
            <w:pPr>
              <w:ind w:left="540"/>
              <w:spacing w:after="0"/>
              <w:rPr>
                <w:sz w:val="20"/>
                <w:szCs w:val="20"/>
                <w:color w:val="auto"/>
              </w:rPr>
            </w:pPr>
            <w:r>
              <w:rPr>
                <w:rFonts w:ascii="Arial" w:cs="Arial" w:eastAsia="Arial" w:hAnsi="Arial"/>
                <w:sz w:val="18"/>
                <w:szCs w:val="18"/>
                <w:color w:val="auto"/>
                <w:w w:val="94"/>
              </w:rPr>
              <w:t>Certification of Chief Executive Officer and Chief Financial Officer pursuant to Section 906 of the Sarbanes-Oxley Act of 2002.</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Management contract or compensatory plan.</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6" w:name="page57"/>
    <w:bookmarkEnd w:id="56"/>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AWARE, INC.</w:t>
      </w:r>
    </w:p>
    <w:p>
      <w:pPr>
        <w:spacing w:after="0" w:line="22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By: /s/ Edmund C. Reiter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23495</wp:posOffset>
            </wp:positionV>
            <wp:extent cx="231521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30" w:lineRule="exact"/>
        <w:rPr>
          <w:sz w:val="20"/>
          <w:szCs w:val="20"/>
          <w:color w:val="auto"/>
        </w:rPr>
      </w:pPr>
    </w:p>
    <w:p>
      <w:pPr>
        <w:ind w:left="7440"/>
        <w:spacing w:after="0"/>
        <w:rPr>
          <w:sz w:val="20"/>
          <w:szCs w:val="20"/>
          <w:color w:val="auto"/>
        </w:rPr>
      </w:pPr>
      <w:r>
        <w:rPr>
          <w:rFonts w:ascii="Arial" w:cs="Arial" w:eastAsia="Arial" w:hAnsi="Arial"/>
          <w:sz w:val="17"/>
          <w:szCs w:val="17"/>
          <w:color w:val="auto"/>
        </w:rPr>
        <w:t>Edmund C. Reiter, President and Chief Executive</w:t>
      </w:r>
    </w:p>
    <w:p>
      <w:pPr>
        <w:spacing w:after="0" w:line="3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Date: February 12, 2010</w:t>
      </w:r>
    </w:p>
    <w:p>
      <w:pPr>
        <w:spacing w:after="0" w:line="25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12</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February 2010.</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80" w:type="dxa"/>
            <w:vAlign w:val="bottom"/>
          </w:tcPr>
          <w:p>
            <w:pPr>
              <w:spacing w:after="0"/>
              <w:rPr>
                <w:sz w:val="20"/>
                <w:szCs w:val="20"/>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1"/>
              </w:rPr>
              <w:t>Signature</w:t>
            </w:r>
          </w:p>
        </w:tc>
        <w:tc>
          <w:tcPr>
            <w:tcW w:w="20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Title</w:t>
            </w:r>
          </w:p>
        </w:tc>
        <w:tc>
          <w:tcPr>
            <w:tcW w:w="700" w:type="dxa"/>
            <w:vAlign w:val="bottom"/>
          </w:tcPr>
          <w:p>
            <w:pPr>
              <w:spacing w:after="0"/>
              <w:rPr>
                <w:sz w:val="20"/>
                <w:szCs w:val="20"/>
                <w:color w:val="auto"/>
              </w:rPr>
            </w:pPr>
          </w:p>
        </w:tc>
      </w:tr>
      <w:tr>
        <w:trPr>
          <w:trHeight w:val="439"/>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A. Tzannes</w:t>
            </w:r>
          </w:p>
        </w:tc>
        <w:tc>
          <w:tcPr>
            <w:tcW w:w="2060" w:type="dxa"/>
            <w:vAlign w:val="bottom"/>
            <w:tcBorders>
              <w:bottom w:val="single" w:sz="8" w:color="auto"/>
            </w:tcBorders>
          </w:tcPr>
          <w:p>
            <w:pPr>
              <w:spacing w:after="0"/>
              <w:rPr>
                <w:sz w:val="24"/>
                <w:szCs w:val="24"/>
                <w:color w:val="auto"/>
              </w:rPr>
            </w:pPr>
          </w:p>
        </w:tc>
        <w:tc>
          <w:tcPr>
            <w:tcW w:w="5120" w:type="dxa"/>
            <w:vAlign w:val="bottom"/>
            <w:gridSpan w:val="3"/>
          </w:tcPr>
          <w:p>
            <w:pPr>
              <w:ind w:left="1700"/>
              <w:spacing w:after="0"/>
              <w:rPr>
                <w:sz w:val="20"/>
                <w:szCs w:val="20"/>
                <w:color w:val="auto"/>
              </w:rPr>
            </w:pPr>
            <w:r>
              <w:rPr>
                <w:rFonts w:ascii="Arial" w:cs="Arial" w:eastAsia="Arial" w:hAnsi="Arial"/>
                <w:sz w:val="18"/>
                <w:szCs w:val="18"/>
                <w:color w:val="auto"/>
              </w:rPr>
              <w:t>Executive Chairman, Director</w:t>
            </w: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Michael A. Tzannes</w:t>
            </w:r>
          </w:p>
        </w:tc>
        <w:tc>
          <w:tcPr>
            <w:tcW w:w="20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25"/>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Edmund C. Reiter</w:t>
            </w:r>
          </w:p>
        </w:tc>
        <w:tc>
          <w:tcPr>
            <w:tcW w:w="2060" w:type="dxa"/>
            <w:vAlign w:val="bottom"/>
            <w:tcBorders>
              <w:bottom w:val="single" w:sz="8" w:color="auto"/>
            </w:tcBorders>
          </w:tcPr>
          <w:p>
            <w:pPr>
              <w:spacing w:after="0"/>
              <w:rPr>
                <w:sz w:val="24"/>
                <w:szCs w:val="24"/>
                <w:color w:val="auto"/>
              </w:rPr>
            </w:pPr>
          </w:p>
        </w:tc>
        <w:tc>
          <w:tcPr>
            <w:tcW w:w="5120" w:type="dxa"/>
            <w:vAlign w:val="bottom"/>
            <w:gridSpan w:val="3"/>
          </w:tcPr>
          <w:p>
            <w:pPr>
              <w:ind w:left="1700"/>
              <w:spacing w:after="0"/>
              <w:rPr>
                <w:sz w:val="20"/>
                <w:szCs w:val="20"/>
                <w:color w:val="auto"/>
              </w:rPr>
            </w:pPr>
            <w:r>
              <w:rPr>
                <w:rFonts w:ascii="Arial" w:cs="Arial" w:eastAsia="Arial" w:hAnsi="Arial"/>
                <w:sz w:val="18"/>
                <w:szCs w:val="18"/>
                <w:color w:val="auto"/>
                <w:w w:val="91"/>
              </w:rPr>
              <w:t>President and Chief Executive Officer, Director</w:t>
            </w: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Edmund C. Reiter</w:t>
            </w:r>
          </w:p>
        </w:tc>
        <w:tc>
          <w:tcPr>
            <w:tcW w:w="2060" w:type="dxa"/>
            <w:vAlign w:val="bottom"/>
          </w:tcPr>
          <w:p>
            <w:pPr>
              <w:spacing w:after="0"/>
              <w:rPr>
                <w:sz w:val="20"/>
                <w:szCs w:val="20"/>
                <w:color w:val="auto"/>
              </w:rPr>
            </w:pPr>
          </w:p>
        </w:tc>
        <w:tc>
          <w:tcPr>
            <w:tcW w:w="5120" w:type="dxa"/>
            <w:vAlign w:val="bottom"/>
            <w:gridSpan w:val="3"/>
          </w:tcPr>
          <w:p>
            <w:pPr>
              <w:ind w:left="1700"/>
              <w:spacing w:after="0"/>
              <w:rPr>
                <w:sz w:val="20"/>
                <w:szCs w:val="20"/>
                <w:color w:val="auto"/>
              </w:rPr>
            </w:pPr>
            <w:r>
              <w:rPr>
                <w:rFonts w:ascii="Arial" w:cs="Arial" w:eastAsia="Arial" w:hAnsi="Arial"/>
                <w:sz w:val="18"/>
                <w:szCs w:val="18"/>
                <w:color w:val="auto"/>
              </w:rPr>
              <w:t>(Principal Executive Officer)</w:t>
            </w:r>
          </w:p>
        </w:tc>
      </w:tr>
      <w:tr>
        <w:trPr>
          <w:trHeight w:val="425"/>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P. Moberg</w:t>
            </w:r>
          </w:p>
        </w:tc>
        <w:tc>
          <w:tcPr>
            <w:tcW w:w="2060" w:type="dxa"/>
            <w:vAlign w:val="bottom"/>
            <w:tcBorders>
              <w:bottom w:val="single" w:sz="8" w:color="auto"/>
            </w:tcBorders>
          </w:tcPr>
          <w:p>
            <w:pPr>
              <w:spacing w:after="0"/>
              <w:rPr>
                <w:sz w:val="24"/>
                <w:szCs w:val="24"/>
                <w:color w:val="auto"/>
              </w:rPr>
            </w:pPr>
          </w:p>
        </w:tc>
        <w:tc>
          <w:tcPr>
            <w:tcW w:w="5120" w:type="dxa"/>
            <w:vAlign w:val="bottom"/>
            <w:gridSpan w:val="3"/>
          </w:tcPr>
          <w:p>
            <w:pPr>
              <w:ind w:left="1700"/>
              <w:spacing w:after="0"/>
              <w:rPr>
                <w:sz w:val="20"/>
                <w:szCs w:val="20"/>
                <w:color w:val="auto"/>
              </w:rPr>
            </w:pPr>
            <w:r>
              <w:rPr>
                <w:rFonts w:ascii="Arial" w:cs="Arial" w:eastAsia="Arial" w:hAnsi="Arial"/>
                <w:sz w:val="18"/>
                <w:szCs w:val="18"/>
                <w:color w:val="auto"/>
              </w:rPr>
              <w:t>Chief Financial Officer</w:t>
            </w: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Richard P. Moberg</w:t>
            </w:r>
          </w:p>
        </w:tc>
        <w:tc>
          <w:tcPr>
            <w:tcW w:w="2060" w:type="dxa"/>
            <w:vAlign w:val="bottom"/>
          </w:tcPr>
          <w:p>
            <w:pPr>
              <w:spacing w:after="0"/>
              <w:rPr>
                <w:sz w:val="20"/>
                <w:szCs w:val="20"/>
                <w:color w:val="auto"/>
              </w:rPr>
            </w:pPr>
          </w:p>
        </w:tc>
        <w:tc>
          <w:tcPr>
            <w:tcW w:w="5120" w:type="dxa"/>
            <w:vAlign w:val="bottom"/>
            <w:gridSpan w:val="3"/>
          </w:tcPr>
          <w:p>
            <w:pPr>
              <w:ind w:left="1700"/>
              <w:spacing w:after="0"/>
              <w:rPr>
                <w:sz w:val="20"/>
                <w:szCs w:val="20"/>
                <w:color w:val="auto"/>
              </w:rPr>
            </w:pPr>
            <w:r>
              <w:rPr>
                <w:rFonts w:ascii="Arial" w:cs="Arial" w:eastAsia="Arial" w:hAnsi="Arial"/>
                <w:sz w:val="18"/>
                <w:szCs w:val="18"/>
                <w:color w:val="auto"/>
                <w:w w:val="98"/>
              </w:rPr>
              <w:t>(Principal Financial and Accounting Officer)</w:t>
            </w:r>
          </w:p>
        </w:tc>
      </w:tr>
      <w:tr>
        <w:trPr>
          <w:trHeight w:val="425"/>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K. Kerr</w:t>
            </w:r>
          </w:p>
        </w:tc>
        <w:tc>
          <w:tcPr>
            <w:tcW w:w="2060" w:type="dxa"/>
            <w:vAlign w:val="bottom"/>
            <w:tcBorders>
              <w:bottom w:val="single" w:sz="8" w:color="auto"/>
            </w:tcBorders>
          </w:tcPr>
          <w:p>
            <w:pPr>
              <w:spacing w:after="0"/>
              <w:rPr>
                <w:sz w:val="24"/>
                <w:szCs w:val="24"/>
                <w:color w:val="auto"/>
              </w:rPr>
            </w:pPr>
          </w:p>
        </w:tc>
        <w:tc>
          <w:tcPr>
            <w:tcW w:w="5120" w:type="dxa"/>
            <w:vAlign w:val="bottom"/>
            <w:gridSpan w:val="3"/>
          </w:tcPr>
          <w:p>
            <w:pPr>
              <w:ind w:left="1700"/>
              <w:spacing w:after="0"/>
              <w:rPr>
                <w:sz w:val="20"/>
                <w:szCs w:val="20"/>
                <w:color w:val="auto"/>
              </w:rPr>
            </w:pPr>
            <w:r>
              <w:rPr>
                <w:rFonts w:ascii="Arial" w:cs="Arial" w:eastAsia="Arial" w:hAnsi="Arial"/>
                <w:sz w:val="18"/>
                <w:szCs w:val="18"/>
                <w:color w:val="auto"/>
              </w:rPr>
              <w:t>Director</w:t>
            </w: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John K. Kerr</w:t>
            </w:r>
          </w:p>
        </w:tc>
        <w:tc>
          <w:tcPr>
            <w:tcW w:w="20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25"/>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 David Forney, Jr.</w:t>
            </w:r>
          </w:p>
        </w:tc>
        <w:tc>
          <w:tcPr>
            <w:tcW w:w="2060" w:type="dxa"/>
            <w:vAlign w:val="bottom"/>
            <w:tcBorders>
              <w:bottom w:val="single" w:sz="8" w:color="auto"/>
            </w:tcBorders>
          </w:tcPr>
          <w:p>
            <w:pPr>
              <w:spacing w:after="0"/>
              <w:rPr>
                <w:sz w:val="24"/>
                <w:szCs w:val="24"/>
                <w:color w:val="auto"/>
              </w:rPr>
            </w:pPr>
          </w:p>
        </w:tc>
        <w:tc>
          <w:tcPr>
            <w:tcW w:w="5120" w:type="dxa"/>
            <w:vAlign w:val="bottom"/>
            <w:gridSpan w:val="3"/>
          </w:tcPr>
          <w:p>
            <w:pPr>
              <w:ind w:left="1700"/>
              <w:spacing w:after="0"/>
              <w:rPr>
                <w:sz w:val="20"/>
                <w:szCs w:val="20"/>
                <w:color w:val="auto"/>
              </w:rPr>
            </w:pPr>
            <w:r>
              <w:rPr>
                <w:rFonts w:ascii="Arial" w:cs="Arial" w:eastAsia="Arial" w:hAnsi="Arial"/>
                <w:sz w:val="18"/>
                <w:szCs w:val="18"/>
                <w:color w:val="auto"/>
              </w:rPr>
              <w:t>Director</w:t>
            </w: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G. David Forney, Jr.</w:t>
            </w:r>
          </w:p>
        </w:tc>
        <w:tc>
          <w:tcPr>
            <w:tcW w:w="20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25"/>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Adrian F. Kruse</w:t>
            </w:r>
          </w:p>
        </w:tc>
        <w:tc>
          <w:tcPr>
            <w:tcW w:w="2060" w:type="dxa"/>
            <w:vAlign w:val="bottom"/>
            <w:tcBorders>
              <w:bottom w:val="single" w:sz="8" w:color="auto"/>
            </w:tcBorders>
          </w:tcPr>
          <w:p>
            <w:pPr>
              <w:spacing w:after="0"/>
              <w:rPr>
                <w:sz w:val="24"/>
                <w:szCs w:val="24"/>
                <w:color w:val="auto"/>
              </w:rPr>
            </w:pPr>
          </w:p>
        </w:tc>
        <w:tc>
          <w:tcPr>
            <w:tcW w:w="5120" w:type="dxa"/>
            <w:vAlign w:val="bottom"/>
            <w:gridSpan w:val="3"/>
          </w:tcPr>
          <w:p>
            <w:pPr>
              <w:ind w:left="1700"/>
              <w:spacing w:after="0"/>
              <w:rPr>
                <w:sz w:val="20"/>
                <w:szCs w:val="20"/>
                <w:color w:val="auto"/>
              </w:rPr>
            </w:pPr>
            <w:r>
              <w:rPr>
                <w:rFonts w:ascii="Arial" w:cs="Arial" w:eastAsia="Arial" w:hAnsi="Arial"/>
                <w:sz w:val="18"/>
                <w:szCs w:val="18"/>
                <w:color w:val="auto"/>
              </w:rPr>
              <w:t>Director</w:t>
            </w: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Adrian F. Kruse</w:t>
            </w:r>
          </w:p>
        </w:tc>
        <w:tc>
          <w:tcPr>
            <w:tcW w:w="20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25"/>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G. McGrath</w:t>
            </w:r>
          </w:p>
        </w:tc>
        <w:tc>
          <w:tcPr>
            <w:tcW w:w="2060" w:type="dxa"/>
            <w:vAlign w:val="bottom"/>
            <w:tcBorders>
              <w:bottom w:val="single" w:sz="8" w:color="auto"/>
            </w:tcBorders>
          </w:tcPr>
          <w:p>
            <w:pPr>
              <w:spacing w:after="0"/>
              <w:rPr>
                <w:sz w:val="24"/>
                <w:szCs w:val="24"/>
                <w:color w:val="auto"/>
              </w:rPr>
            </w:pPr>
          </w:p>
        </w:tc>
        <w:tc>
          <w:tcPr>
            <w:tcW w:w="5120" w:type="dxa"/>
            <w:vAlign w:val="bottom"/>
            <w:gridSpan w:val="3"/>
          </w:tcPr>
          <w:p>
            <w:pPr>
              <w:ind w:left="1700"/>
              <w:spacing w:after="0"/>
              <w:rPr>
                <w:sz w:val="20"/>
                <w:szCs w:val="20"/>
                <w:color w:val="auto"/>
              </w:rPr>
            </w:pPr>
            <w:r>
              <w:rPr>
                <w:rFonts w:ascii="Arial" w:cs="Arial" w:eastAsia="Arial" w:hAnsi="Arial"/>
                <w:sz w:val="18"/>
                <w:szCs w:val="18"/>
                <w:color w:val="auto"/>
              </w:rPr>
              <w:t>Director</w:t>
            </w: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Mark G. McGrath</w:t>
            </w:r>
          </w:p>
        </w:tc>
        <w:tc>
          <w:tcPr>
            <w:tcW w:w="20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25"/>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Charles K. Stewart</w:t>
            </w:r>
          </w:p>
        </w:tc>
        <w:tc>
          <w:tcPr>
            <w:tcW w:w="2060" w:type="dxa"/>
            <w:vAlign w:val="bottom"/>
            <w:tcBorders>
              <w:bottom w:val="single" w:sz="8" w:color="auto"/>
            </w:tcBorders>
          </w:tcPr>
          <w:p>
            <w:pPr>
              <w:spacing w:after="0"/>
              <w:rPr>
                <w:sz w:val="24"/>
                <w:szCs w:val="24"/>
                <w:color w:val="auto"/>
              </w:rPr>
            </w:pPr>
          </w:p>
        </w:tc>
        <w:tc>
          <w:tcPr>
            <w:tcW w:w="5120" w:type="dxa"/>
            <w:vAlign w:val="bottom"/>
            <w:gridSpan w:val="3"/>
          </w:tcPr>
          <w:p>
            <w:pPr>
              <w:ind w:left="1700"/>
              <w:spacing w:after="0"/>
              <w:rPr>
                <w:sz w:val="20"/>
                <w:szCs w:val="20"/>
                <w:color w:val="auto"/>
              </w:rPr>
            </w:pPr>
            <w:r>
              <w:rPr>
                <w:rFonts w:ascii="Arial" w:cs="Arial" w:eastAsia="Arial" w:hAnsi="Arial"/>
                <w:sz w:val="18"/>
                <w:szCs w:val="18"/>
                <w:color w:val="auto"/>
              </w:rPr>
              <w:t>Director</w:t>
            </w: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Charles K. Stewart</w:t>
            </w:r>
          </w:p>
        </w:tc>
        <w:tc>
          <w:tcPr>
            <w:tcW w:w="20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r>
    </w:tbl>
    <w:p>
      <w:pPr>
        <w:spacing w:after="0" w:line="200" w:lineRule="exact"/>
        <w:rPr>
          <w:sz w:val="20"/>
          <w:szCs w:val="20"/>
          <w:color w:val="auto"/>
        </w:rPr>
      </w:pPr>
    </w:p>
    <w:p>
      <w:pPr>
        <w:spacing w:after="0" w:line="250"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180"/>
          </w:cols>
          <w:pgMar w:left="240" w:top="580" w:right="479" w:bottom="1440" w:gutter="0" w:footer="0" w:header="0"/>
        </w:sectPr>
      </w:pPr>
    </w:p>
    <w:bookmarkStart w:id="57" w:name="page58"/>
    <w:bookmarkEnd w:id="5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10.8</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ASSET PURCHASE AGREEMENT</w:t>
      </w:r>
    </w:p>
    <w:p>
      <w:pPr>
        <w:spacing w:after="0" w:line="24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ASSET PURCHASE AGREEMENT (the “Agreement”) is dated as of this 14th day of October, 2009, by and between Aware, Inc., a Massachusetts corporation (“</w:t>
      </w:r>
      <w:r>
        <w:rPr>
          <w:rFonts w:ascii="Arial" w:cs="Arial" w:eastAsia="Arial" w:hAnsi="Arial"/>
          <w:sz w:val="18"/>
          <w:szCs w:val="18"/>
          <w:u w:val="single" w:color="auto"/>
          <w:color w:val="auto"/>
        </w:rPr>
        <w:t>Seller</w:t>
      </w:r>
      <w:r>
        <w:rPr>
          <w:rFonts w:ascii="Arial" w:cs="Arial" w:eastAsia="Arial" w:hAnsi="Arial"/>
          <w:sz w:val="18"/>
          <w:szCs w:val="18"/>
          <w:color w:val="auto"/>
        </w:rPr>
        <w:t>”), Lantiq Broadband Holdco Inc., a Delaware corporation (‘</w:t>
      </w:r>
      <w:r>
        <w:rPr>
          <w:rFonts w:ascii="Arial" w:cs="Arial" w:eastAsia="Arial" w:hAnsi="Arial"/>
          <w:sz w:val="18"/>
          <w:szCs w:val="18"/>
          <w:u w:val="single" w:color="auto"/>
          <w:color w:val="auto"/>
        </w:rPr>
        <w:t>Lantiq US</w:t>
      </w:r>
      <w:r>
        <w:rPr>
          <w:rFonts w:ascii="Arial" w:cs="Arial" w:eastAsia="Arial" w:hAnsi="Arial"/>
          <w:sz w:val="18"/>
          <w:szCs w:val="18"/>
          <w:color w:val="auto"/>
        </w:rPr>
        <w:t>”), and Lantiq Deutschland GmbH, a company organized and existing under the laws of Germany (“</w:t>
      </w:r>
      <w:r>
        <w:rPr>
          <w:rFonts w:ascii="Arial" w:cs="Arial" w:eastAsia="Arial" w:hAnsi="Arial"/>
          <w:sz w:val="18"/>
          <w:szCs w:val="18"/>
          <w:u w:val="single" w:color="auto"/>
          <w:color w:val="auto"/>
        </w:rPr>
        <w:t>Lantiq Germany</w:t>
      </w:r>
      <w:r>
        <w:rPr>
          <w:rFonts w:ascii="Arial" w:cs="Arial" w:eastAsia="Arial" w:hAnsi="Arial"/>
          <w:sz w:val="18"/>
          <w:szCs w:val="18"/>
          <w:color w:val="auto"/>
        </w:rPr>
        <w:t>,” and together with Lantiq US, “</w:t>
      </w:r>
      <w:r>
        <w:rPr>
          <w:rFonts w:ascii="Arial" w:cs="Arial" w:eastAsia="Arial" w:hAnsi="Arial"/>
          <w:sz w:val="18"/>
          <w:szCs w:val="18"/>
          <w:u w:val="single" w:color="auto"/>
          <w:color w:val="auto"/>
        </w:rPr>
        <w:t>Purchasers</w:t>
      </w:r>
      <w:r>
        <w:rPr>
          <w:rFonts w:ascii="Arial" w:cs="Arial" w:eastAsia="Arial" w:hAnsi="Arial"/>
          <w:sz w:val="18"/>
          <w:szCs w:val="18"/>
          <w:color w:val="auto"/>
        </w:rPr>
        <w:t xml:space="preserve">”). Capitalized terms used and not otherwise defined herein have the meanings set forth in </w:t>
      </w:r>
      <w:r>
        <w:rPr>
          <w:rFonts w:ascii="Arial" w:cs="Arial" w:eastAsia="Arial" w:hAnsi="Arial"/>
          <w:sz w:val="18"/>
          <w:szCs w:val="18"/>
          <w:u w:val="single" w:color="auto"/>
          <w:color w:val="0000EE"/>
        </w:rPr>
        <w:t>Article 11</w:t>
      </w:r>
      <w:r>
        <w:rPr>
          <w:rFonts w:ascii="Arial" w:cs="Arial" w:eastAsia="Arial" w:hAnsi="Arial"/>
          <w:sz w:val="18"/>
          <w:szCs w:val="18"/>
          <w:color w:val="auto"/>
        </w:rPr>
        <w: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Seller is engaged in the business of designing, developing and licensing DSL Technology and Home Networking Technology (the “</w:t>
      </w:r>
      <w:r>
        <w:rPr>
          <w:rFonts w:ascii="Arial" w:cs="Arial" w:eastAsia="Arial" w:hAnsi="Arial"/>
          <w:sz w:val="18"/>
          <w:szCs w:val="18"/>
          <w:u w:val="single" w:color="auto"/>
          <w:color w:val="auto"/>
        </w:rPr>
        <w:t>Business</w:t>
      </w:r>
      <w:r>
        <w:rPr>
          <w:rFonts w:ascii="Arial" w:cs="Arial" w:eastAsia="Arial" w:hAnsi="Arial"/>
          <w:sz w:val="18"/>
          <w:szCs w:val="18"/>
          <w:color w:val="auto"/>
        </w:rPr>
        <w:t>”); and</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Seller desires to sell to Purchasers and Purchasers desire to purchase and assume from Seller certain of the assets and liabilities of the Business, as more particularly set forth herein.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premises and the mutual covenants contained herein, the parties hereto agree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PURCHASE &amp; SALE OF PURCHASED ASSETS</w:t>
      </w:r>
    </w:p>
    <w:p>
      <w:pPr>
        <w:spacing w:after="0" w:line="27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u w:val="single" w:color="auto"/>
          <w:color w:val="auto"/>
        </w:rPr>
        <w:t>Purchased Assets</w:t>
      </w:r>
      <w:r>
        <w:rPr>
          <w:rFonts w:ascii="Arial" w:cs="Arial" w:eastAsia="Arial" w:hAnsi="Arial"/>
          <w:sz w:val="15"/>
          <w:szCs w:val="15"/>
          <w:color w:val="auto"/>
        </w:rPr>
        <w:t>.</w:t>
      </w:r>
    </w:p>
    <w:p>
      <w:pPr>
        <w:spacing w:after="0" w:line="279" w:lineRule="exact"/>
        <w:rPr>
          <w:sz w:val="20"/>
          <w:szCs w:val="20"/>
          <w:color w:val="auto"/>
        </w:rPr>
      </w:pPr>
    </w:p>
    <w:p>
      <w:pPr>
        <w:jc w:val="both"/>
        <w:ind w:firstLine="1305"/>
        <w:spacing w:after="0" w:line="286" w:lineRule="auto"/>
        <w:tabs>
          <w:tab w:leader="none" w:pos="1712" w:val="left"/>
        </w:tabs>
        <w:numPr>
          <w:ilvl w:val="0"/>
          <w:numId w:val="32"/>
        </w:numPr>
        <w:rPr>
          <w:rFonts w:ascii="Arial" w:cs="Arial" w:eastAsia="Arial" w:hAnsi="Arial"/>
          <w:sz w:val="17"/>
          <w:szCs w:val="17"/>
          <w:color w:val="auto"/>
        </w:rPr>
      </w:pPr>
      <w:r>
        <w:rPr>
          <w:rFonts w:ascii="Arial" w:cs="Arial" w:eastAsia="Arial" w:hAnsi="Arial"/>
          <w:sz w:val="17"/>
          <w:szCs w:val="17"/>
          <w:color w:val="auto"/>
        </w:rPr>
        <w:t>Subject to the terms and conditions of this Agreement, at the Closing, Seller shall sell, convey, transfer, assign and deliver to Lantiq Germany, and Seller shall cause Lantiq Germany to purchase and acquire from Seller, all of Seller’s right, title and interest in, to and under the following assets, in each case free and clear of all Liens except the Outbound IP Licenses (collectively, the “</w:t>
      </w:r>
      <w:r>
        <w:rPr>
          <w:rFonts w:ascii="Arial" w:cs="Arial" w:eastAsia="Arial" w:hAnsi="Arial"/>
          <w:sz w:val="17"/>
          <w:szCs w:val="17"/>
          <w:u w:val="single" w:color="auto"/>
          <w:color w:val="auto"/>
        </w:rPr>
        <w:t>Lantiq Germany Purchased Assets</w:t>
      </w:r>
      <w:r>
        <w:rPr>
          <w:rFonts w:ascii="Arial" w:cs="Arial" w:eastAsia="Arial" w:hAnsi="Arial"/>
          <w:sz w:val="17"/>
          <w:szCs w:val="17"/>
          <w:color w:val="auto"/>
        </w:rPr>
        <w:t>”):</w:t>
      </w:r>
    </w:p>
    <w:p>
      <w:pPr>
        <w:spacing w:after="0" w:line="219" w:lineRule="exact"/>
        <w:rPr>
          <w:rFonts w:ascii="Arial" w:cs="Arial" w:eastAsia="Arial" w:hAnsi="Arial"/>
          <w:sz w:val="17"/>
          <w:szCs w:val="17"/>
          <w:color w:val="auto"/>
        </w:rPr>
      </w:pPr>
    </w:p>
    <w:p>
      <w:pPr>
        <w:ind w:left="2340" w:hanging="387"/>
        <w:spacing w:after="0"/>
        <w:tabs>
          <w:tab w:leader="none" w:pos="23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Seller Technology;</w:t>
      </w:r>
    </w:p>
    <w:p>
      <w:pPr>
        <w:spacing w:after="0" w:line="279" w:lineRule="exact"/>
        <w:rPr>
          <w:rFonts w:ascii="Arial" w:cs="Arial" w:eastAsia="Arial" w:hAnsi="Arial"/>
          <w:sz w:val="18"/>
          <w:szCs w:val="18"/>
          <w:color w:val="auto"/>
        </w:rPr>
      </w:pPr>
    </w:p>
    <w:p>
      <w:pPr>
        <w:ind w:firstLine="1953"/>
        <w:spacing w:after="0" w:line="277" w:lineRule="auto"/>
        <w:tabs>
          <w:tab w:leader="none" w:pos="2381"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the patents and patent applications identified in the Patent Assignment Agreement attached hereto as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1.1(a)(i)</w:t>
      </w:r>
      <w:r>
        <w:rPr>
          <w:rFonts w:ascii="Arial" w:cs="Arial" w:eastAsia="Arial" w:hAnsi="Arial"/>
          <w:sz w:val="18"/>
          <w:szCs w:val="18"/>
          <w:color w:val="auto"/>
        </w:rPr>
        <w:t>, as well as any foreign or multinational counterparts thereof (collectively, the “</w:t>
      </w:r>
      <w:r>
        <w:rPr>
          <w:rFonts w:ascii="Arial" w:cs="Arial" w:eastAsia="Arial" w:hAnsi="Arial"/>
          <w:sz w:val="18"/>
          <w:szCs w:val="18"/>
          <w:u w:val="single" w:color="auto"/>
          <w:color w:val="auto"/>
        </w:rPr>
        <w:t>Purchased Patents</w:t>
      </w:r>
      <w:r>
        <w:rPr>
          <w:rFonts w:ascii="Arial" w:cs="Arial" w:eastAsia="Arial" w:hAnsi="Arial"/>
          <w:sz w:val="18"/>
          <w:szCs w:val="18"/>
          <w:color w:val="auto"/>
        </w:rPr>
        <w:t>”); and</w:t>
      </w:r>
    </w:p>
    <w:p>
      <w:pPr>
        <w:spacing w:after="0" w:line="224" w:lineRule="exact"/>
        <w:rPr>
          <w:rFonts w:ascii="Arial" w:cs="Arial" w:eastAsia="Arial" w:hAnsi="Arial"/>
          <w:sz w:val="18"/>
          <w:szCs w:val="18"/>
          <w:color w:val="auto"/>
        </w:rPr>
      </w:pPr>
    </w:p>
    <w:p>
      <w:pPr>
        <w:ind w:left="2460" w:hanging="507"/>
        <w:spacing w:after="0"/>
        <w:tabs>
          <w:tab w:leader="none" w:pos="24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Intellectual Property Rights (other than patent rights) related to or used in connection with the Seller Technology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Purchased Non-Patent IP</w:t>
      </w:r>
      <w:r>
        <w:rPr>
          <w:rFonts w:ascii="Arial" w:cs="Arial" w:eastAsia="Arial" w:hAnsi="Arial"/>
          <w:sz w:val="18"/>
          <w:szCs w:val="18"/>
          <w:color w:val="auto"/>
        </w:rPr>
        <w:t>”).</w:t>
      </w:r>
    </w:p>
    <w:p>
      <w:pPr>
        <w:spacing w:after="0" w:line="264" w:lineRule="exact"/>
        <w:rPr>
          <w:rFonts w:ascii="Arial" w:cs="Arial" w:eastAsia="Arial" w:hAnsi="Arial"/>
          <w:sz w:val="16"/>
          <w:szCs w:val="16"/>
          <w:color w:val="auto"/>
        </w:rPr>
      </w:pPr>
    </w:p>
    <w:p>
      <w:pPr>
        <w:jc w:val="both"/>
        <w:ind w:firstLine="1305"/>
        <w:spacing w:after="0" w:line="259" w:lineRule="auto"/>
        <w:tabs>
          <w:tab w:leader="none" w:pos="1722"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at the Closing, Seller shall sell, convey, transfer, assign and deliver to Lantiq US, and Seller shall cause Lantiq US to purchase and acquire from Seller, all of Seller’s right, title and interest in, to and under the following assets, in each case free and clear of all Liens except the Outbound IP Licenses (collectively, the “</w:t>
      </w:r>
      <w:r>
        <w:rPr>
          <w:rFonts w:ascii="Arial" w:cs="Arial" w:eastAsia="Arial" w:hAnsi="Arial"/>
          <w:sz w:val="18"/>
          <w:szCs w:val="18"/>
          <w:u w:val="single" w:color="auto"/>
          <w:color w:val="auto"/>
        </w:rPr>
        <w:t>Lantiq US Purchased Assets</w:t>
      </w:r>
      <w:r>
        <w:rPr>
          <w:rFonts w:ascii="Arial" w:cs="Arial" w:eastAsia="Arial" w:hAnsi="Arial"/>
          <w:sz w:val="18"/>
          <w:szCs w:val="18"/>
          <w:color w:val="auto"/>
        </w:rPr>
        <w:t>,” and together with the Lantiq Germany Purchased Assets, the “</w:t>
      </w:r>
      <w:r>
        <w:rPr>
          <w:rFonts w:ascii="Arial" w:cs="Arial" w:eastAsia="Arial" w:hAnsi="Arial"/>
          <w:sz w:val="18"/>
          <w:szCs w:val="18"/>
          <w:u w:val="single" w:color="auto"/>
          <w:color w:val="auto"/>
        </w:rPr>
        <w:t>Purchased Assets</w:t>
      </w:r>
      <w:r>
        <w:rPr>
          <w:rFonts w:ascii="Arial" w:cs="Arial" w:eastAsia="Arial" w:hAnsi="Arial"/>
          <w:sz w:val="18"/>
          <w:szCs w:val="18"/>
          <w:color w:val="auto"/>
        </w:rPr>
        <w:t>”):</w:t>
      </w:r>
    </w:p>
    <w:p>
      <w:pPr>
        <w:spacing w:after="0" w:line="240" w:lineRule="exact"/>
        <w:rPr>
          <w:rFonts w:ascii="Arial" w:cs="Arial" w:eastAsia="Arial" w:hAnsi="Arial"/>
          <w:sz w:val="18"/>
          <w:szCs w:val="18"/>
          <w:color w:val="auto"/>
        </w:rPr>
      </w:pPr>
    </w:p>
    <w:p>
      <w:pPr>
        <w:ind w:firstLine="1953"/>
        <w:spacing w:after="0" w:line="277" w:lineRule="auto"/>
        <w:tabs>
          <w:tab w:leader="none" w:pos="2344"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the tangible machinery, equipment and other tangible assets used by or for the Business, including without limitation the assets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1.1(b)(i)</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Purchased Fixed Assets</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jc w:val="both"/>
        <w:ind w:right="20" w:firstLine="1953"/>
        <w:spacing w:after="0" w:line="259" w:lineRule="auto"/>
        <w:tabs>
          <w:tab w:leader="none" w:pos="2394"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the Licenses or other Contracts, including without limitation the Licenses and Contracts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1.1(b)(ii)</w:t>
      </w:r>
      <w:r>
        <w:rPr>
          <w:rFonts w:ascii="Arial" w:cs="Arial" w:eastAsia="Arial" w:hAnsi="Arial"/>
          <w:sz w:val="18"/>
          <w:szCs w:val="18"/>
          <w:color w:val="auto"/>
        </w:rPr>
        <w:t>, under which Seller has acquired from another Person any right to use or other rights or interest in any software, technology, or other tangible or intangible assets constituting a component of, related to or used in the Purchased Assets or the Business to the extent such agreements are assignable without the prior written consent of another Person (the “</w:t>
      </w:r>
      <w:r>
        <w:rPr>
          <w:rFonts w:ascii="Arial" w:cs="Arial" w:eastAsia="Arial" w:hAnsi="Arial"/>
          <w:sz w:val="18"/>
          <w:szCs w:val="18"/>
          <w:u w:val="single" w:color="auto"/>
          <w:color w:val="auto"/>
        </w:rPr>
        <w:t>Purchased Inbound License Agreements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1680845</wp:posOffset>
            </wp:positionH>
            <wp:positionV relativeFrom="paragraph">
              <wp:posOffset>-755015</wp:posOffset>
            </wp:positionV>
            <wp:extent cx="285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58" w:name="page59"/>
    <w:bookmarkEnd w:id="58"/>
    <w:p>
      <w:pPr>
        <w:jc w:val="both"/>
        <w:ind w:firstLine="1953"/>
        <w:spacing w:after="0" w:line="257" w:lineRule="auto"/>
        <w:tabs>
          <w:tab w:leader="none" w:pos="2431"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rights, causes of action, claims, demands and privileges of Seller, whether now existing or hereafter arising</w:t>
      </w:r>
      <w:r>
        <w:rPr>
          <w:rFonts w:ascii="Arial" w:cs="Arial" w:eastAsia="Arial" w:hAnsi="Arial"/>
          <w:sz w:val="18"/>
          <w:szCs w:val="18"/>
          <w:i w:val="1"/>
          <w:iCs w:val="1"/>
          <w:color w:val="auto"/>
        </w:rPr>
        <w:t>,</w:t>
      </w:r>
      <w:r>
        <w:rPr>
          <w:rFonts w:ascii="Arial" w:cs="Arial" w:eastAsia="Arial" w:hAnsi="Arial"/>
          <w:sz w:val="18"/>
          <w:szCs w:val="18"/>
          <w:color w:val="auto"/>
        </w:rPr>
        <w:t xml:space="preserve"> liquidated or unliquidated, fixed or contingent, against manufacturers, vendors, subcontractors or other third parties that relate to any of the Purchased Assets transferred hereunder, including, without limitation, all product warranties thereon and any causes of action, claims and rights Seller may have under any insurance contracts or policies insuring the Purchased Assets but excluding any causes of action, claims and rights of Seller, whether now existing or hereafter arising, under any Outbound IP License (collectively, the “</w:t>
      </w:r>
      <w:r>
        <w:rPr>
          <w:rFonts w:ascii="Arial" w:cs="Arial" w:eastAsia="Arial" w:hAnsi="Arial"/>
          <w:sz w:val="18"/>
          <w:szCs w:val="18"/>
          <w:u w:val="single" w:color="auto"/>
          <w:color w:val="auto"/>
        </w:rPr>
        <w:t>Transferred Assets Rights</w:t>
      </w:r>
      <w:r>
        <w:rPr>
          <w:rFonts w:ascii="Arial" w:cs="Arial" w:eastAsia="Arial" w:hAnsi="Arial"/>
          <w:sz w:val="18"/>
          <w:szCs w:val="18"/>
          <w:color w:val="auto"/>
        </w:rPr>
        <w:t>”);</w:t>
      </w:r>
    </w:p>
    <w:p>
      <w:pPr>
        <w:spacing w:after="0" w:line="242" w:lineRule="exact"/>
        <w:rPr>
          <w:rFonts w:ascii="Arial" w:cs="Arial" w:eastAsia="Arial" w:hAnsi="Arial"/>
          <w:sz w:val="18"/>
          <w:szCs w:val="18"/>
          <w:color w:val="auto"/>
        </w:rPr>
      </w:pPr>
    </w:p>
    <w:p>
      <w:pPr>
        <w:ind w:left="2420" w:hanging="467"/>
        <w:spacing w:after="0"/>
        <w:tabs>
          <w:tab w:leader="none" w:pos="2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rights to offer employment to the Specified Employees; and</w:t>
      </w:r>
    </w:p>
    <w:p>
      <w:pPr>
        <w:spacing w:after="0" w:line="279" w:lineRule="exact"/>
        <w:rPr>
          <w:rFonts w:ascii="Arial" w:cs="Arial" w:eastAsia="Arial" w:hAnsi="Arial"/>
          <w:sz w:val="18"/>
          <w:szCs w:val="18"/>
          <w:color w:val="auto"/>
        </w:rPr>
      </w:pPr>
    </w:p>
    <w:p>
      <w:pPr>
        <w:jc w:val="both"/>
        <w:ind w:firstLine="1953"/>
        <w:spacing w:after="0" w:line="312" w:lineRule="auto"/>
        <w:tabs>
          <w:tab w:leader="none" w:pos="2371" w:val="left"/>
        </w:tabs>
        <w:numPr>
          <w:ilvl w:val="0"/>
          <w:numId w:val="33"/>
        </w:numPr>
        <w:rPr>
          <w:rFonts w:ascii="Arial" w:cs="Arial" w:eastAsia="Arial" w:hAnsi="Arial"/>
          <w:sz w:val="16"/>
          <w:szCs w:val="16"/>
          <w:color w:val="auto"/>
        </w:rPr>
      </w:pPr>
      <w:r>
        <w:rPr>
          <w:rFonts w:ascii="Arial" w:cs="Arial" w:eastAsia="Arial" w:hAnsi="Arial"/>
          <w:sz w:val="16"/>
          <w:szCs w:val="16"/>
          <w:color w:val="auto"/>
        </w:rPr>
        <w:t>all documentation, specifications and other technical data necessary for the development, manufacture, distribution or sale of the Purchased Assets (including the Seller Proprietary Rights) and all written documentation, specifications and other technical data useful for the development, manufacture, distribution or sale of the Purchased Assets (including the Seller Proprietary Rights) which are in Seller’s possession or control.</w:t>
      </w:r>
    </w:p>
    <w:p>
      <w:pPr>
        <w:spacing w:after="0" w:line="20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Excluded Assets</w:t>
      </w:r>
      <w:r>
        <w:rPr>
          <w:rFonts w:ascii="Arial" w:cs="Arial" w:eastAsia="Arial" w:hAnsi="Arial"/>
          <w:sz w:val="18"/>
          <w:szCs w:val="18"/>
          <w:color w:val="auto"/>
        </w:rPr>
        <w:t xml:space="preserve">. Purchased Assets include only what is specifically identified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1.1</w:t>
      </w:r>
      <w:r>
        <w:rPr>
          <w:rFonts w:ascii="Arial" w:cs="Arial" w:eastAsia="Arial" w:hAnsi="Arial"/>
          <w:sz w:val="18"/>
          <w:szCs w:val="18"/>
          <w:color w:val="auto"/>
        </w:rPr>
        <w:t xml:space="preserve"> hereof, and all of Seller’s other assets are expressly excluded from the purchase and sale contemplated hereby and thus the Seller shall retain, and Purchasers shall not purchase, such assets including, without limitation, the following (collectively, the “</w:t>
      </w:r>
      <w:r>
        <w:rPr>
          <w:rFonts w:ascii="Arial" w:cs="Arial" w:eastAsia="Arial" w:hAnsi="Arial"/>
          <w:sz w:val="18"/>
          <w:szCs w:val="18"/>
          <w:u w:val="single" w:color="auto"/>
          <w:color w:val="auto"/>
        </w:rPr>
        <w:t>Excluded Assets</w:t>
      </w:r>
      <w:r>
        <w:rPr>
          <w:rFonts w:ascii="Arial" w:cs="Arial" w:eastAsia="Arial" w:hAnsi="Arial"/>
          <w:sz w:val="18"/>
          <w:szCs w:val="18"/>
          <w:color w:val="auto"/>
        </w:rPr>
        <w:t>”):</w:t>
      </w:r>
    </w:p>
    <w:p>
      <w:pPr>
        <w:spacing w:after="0" w:line="235" w:lineRule="exact"/>
        <w:rPr>
          <w:sz w:val="20"/>
          <w:szCs w:val="20"/>
          <w:color w:val="auto"/>
        </w:rPr>
      </w:pPr>
    </w:p>
    <w:p>
      <w:pPr>
        <w:jc w:val="both"/>
        <w:ind w:firstLine="1305"/>
        <w:spacing w:after="0" w:line="264" w:lineRule="auto"/>
        <w:tabs>
          <w:tab w:leader="none" w:pos="1726"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cash, bank accounts, accounts receivable, deposits, prepaid expenses, unearned insurance premiums, furniture or leaseholds of real property of Seller, or sales, marketing, accounting, finance, legal, office administration and other similar functions which may have been supplied to Seller;</w:t>
      </w:r>
    </w:p>
    <w:p>
      <w:pPr>
        <w:spacing w:after="0" w:line="235" w:lineRule="exact"/>
        <w:rPr>
          <w:rFonts w:ascii="Arial" w:cs="Arial" w:eastAsia="Arial" w:hAnsi="Arial"/>
          <w:sz w:val="18"/>
          <w:szCs w:val="18"/>
          <w:color w:val="auto"/>
        </w:rPr>
      </w:pPr>
    </w:p>
    <w:p>
      <w:pPr>
        <w:ind w:left="1740" w:hanging="435"/>
        <w:spacing w:after="0"/>
        <w:tabs>
          <w:tab w:leader="none" w:pos="17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all guarantees, warranties, indemnities and similar rights in favor of Seller with respect to products to the extent sold prior to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Closing Date;</w:t>
      </w:r>
    </w:p>
    <w:p>
      <w:pPr>
        <w:spacing w:after="0" w:line="264" w:lineRule="exact"/>
        <w:rPr>
          <w:rFonts w:ascii="Arial" w:cs="Arial" w:eastAsia="Arial" w:hAnsi="Arial"/>
          <w:sz w:val="17"/>
          <w:szCs w:val="17"/>
          <w:color w:val="auto"/>
        </w:rPr>
      </w:pPr>
    </w:p>
    <w:p>
      <w:pPr>
        <w:ind w:firstLine="1305"/>
        <w:spacing w:after="0" w:line="277" w:lineRule="auto"/>
        <w:tabs>
          <w:tab w:leader="none" w:pos="1726"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any and all Contracts listed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1.2(c)</w:t>
      </w:r>
      <w:r>
        <w:rPr>
          <w:rFonts w:ascii="Arial" w:cs="Arial" w:eastAsia="Arial" w:hAnsi="Arial"/>
          <w:sz w:val="18"/>
          <w:szCs w:val="18"/>
          <w:color w:val="auto"/>
        </w:rPr>
        <w:t xml:space="preserve"> entered into prior to the Closing Date pursuant to which Seller has granted to any Person any express right to use, exercise, or otherwise practice any right under any Purchased Asset (the “</w:t>
      </w:r>
      <w:r>
        <w:rPr>
          <w:rFonts w:ascii="Arial" w:cs="Arial" w:eastAsia="Arial" w:hAnsi="Arial"/>
          <w:sz w:val="18"/>
          <w:szCs w:val="18"/>
          <w:u w:val="single" w:color="auto"/>
          <w:color w:val="auto"/>
        </w:rPr>
        <w:t>Outbound IP Licenses</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jc w:val="both"/>
        <w:ind w:firstLine="1305"/>
        <w:spacing w:after="0" w:line="264" w:lineRule="auto"/>
        <w:tabs>
          <w:tab w:leader="none" w:pos="174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License Seller receives from ARC Cores International (“</w:t>
      </w:r>
      <w:r>
        <w:rPr>
          <w:rFonts w:ascii="Arial" w:cs="Arial" w:eastAsia="Arial" w:hAnsi="Arial"/>
          <w:sz w:val="18"/>
          <w:szCs w:val="18"/>
          <w:u w:val="single" w:color="auto"/>
          <w:color w:val="auto"/>
        </w:rPr>
        <w:t>ARC</w:t>
      </w:r>
      <w:r>
        <w:rPr>
          <w:rFonts w:ascii="Arial" w:cs="Arial" w:eastAsia="Arial" w:hAnsi="Arial"/>
          <w:sz w:val="18"/>
          <w:szCs w:val="18"/>
          <w:color w:val="auto"/>
        </w:rPr>
        <w:t xml:space="preserve">”) to the ARC processor cores pursuant to a Design License Agreement and Design-User Sublicense Agreement entered into between Seller and ARC (it being agreed that Purchaser shall continue to receive the License to the ARC Materials delineated in </w:t>
      </w:r>
      <w:r>
        <w:rPr>
          <w:rFonts w:ascii="Arial" w:cs="Arial" w:eastAsia="Arial" w:hAnsi="Arial"/>
          <w:sz w:val="18"/>
          <w:szCs w:val="18"/>
          <w:u w:val="single" w:color="auto"/>
          <w:color w:val="auto"/>
        </w:rPr>
        <w:t>Section 4.1.4</w:t>
      </w:r>
      <w:r>
        <w:rPr>
          <w:rFonts w:ascii="Arial" w:cs="Arial" w:eastAsia="Arial" w:hAnsi="Arial"/>
          <w:sz w:val="18"/>
          <w:szCs w:val="18"/>
          <w:color w:val="auto"/>
        </w:rPr>
        <w:t xml:space="preserve"> of the DSL License Agreement);</w:t>
      </w:r>
    </w:p>
    <w:p>
      <w:pPr>
        <w:spacing w:after="0" w:line="235" w:lineRule="exact"/>
        <w:rPr>
          <w:rFonts w:ascii="Arial" w:cs="Arial" w:eastAsia="Arial" w:hAnsi="Arial"/>
          <w:sz w:val="18"/>
          <w:szCs w:val="18"/>
          <w:color w:val="auto"/>
        </w:rPr>
      </w:pPr>
    </w:p>
    <w:p>
      <w:pPr>
        <w:jc w:val="both"/>
        <w:ind w:right="20" w:firstLine="1305"/>
        <w:spacing w:after="0" w:line="264" w:lineRule="auto"/>
        <w:tabs>
          <w:tab w:leader="none" w:pos="1753"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any patents and patent applications relating to the Seller Technology and not specifically identified in the Patent Assignment Agreement attached hereto as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color w:val="0000EE"/>
        </w:rPr>
        <w:t>1.1(b)</w:t>
      </w:r>
      <w:r>
        <w:rPr>
          <w:rFonts w:ascii="Arial" w:cs="Arial" w:eastAsia="Arial" w:hAnsi="Arial"/>
          <w:sz w:val="18"/>
          <w:szCs w:val="18"/>
          <w:color w:val="auto"/>
        </w:rPr>
        <w:t>, as well as any foreign or multinational counterparts of such non-listed patents and patent applications (collectively, the “</w:t>
      </w:r>
      <w:r>
        <w:rPr>
          <w:rFonts w:ascii="Arial" w:cs="Arial" w:eastAsia="Arial" w:hAnsi="Arial"/>
          <w:sz w:val="18"/>
          <w:szCs w:val="18"/>
          <w:u w:val="single" w:color="auto"/>
          <w:color w:val="auto"/>
        </w:rPr>
        <w:t>Non-Purchased Patents</w:t>
      </w:r>
      <w:r>
        <w:rPr>
          <w:rFonts w:ascii="Arial" w:cs="Arial" w:eastAsia="Arial" w:hAnsi="Arial"/>
          <w:sz w:val="18"/>
          <w:szCs w:val="18"/>
          <w:color w:val="auto"/>
        </w:rPr>
        <w:t>”);</w:t>
      </w:r>
    </w:p>
    <w:p>
      <w:pPr>
        <w:spacing w:after="0" w:line="235" w:lineRule="exact"/>
        <w:rPr>
          <w:rFonts w:ascii="Arial" w:cs="Arial" w:eastAsia="Arial" w:hAnsi="Arial"/>
          <w:sz w:val="18"/>
          <w:szCs w:val="18"/>
          <w:color w:val="auto"/>
        </w:rPr>
      </w:pPr>
    </w:p>
    <w:p>
      <w:pPr>
        <w:ind w:left="1700" w:hanging="395"/>
        <w:spacing w:after="0"/>
        <w:tabs>
          <w:tab w:leader="none" w:pos="17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right, title or interest in and to the Overlapping Technology except as provided pursuant to the DSL License Agreement; and</w:t>
      </w:r>
    </w:p>
    <w:p>
      <w:pPr>
        <w:spacing w:after="0" w:line="290" w:lineRule="exact"/>
        <w:rPr>
          <w:rFonts w:ascii="Arial" w:cs="Arial" w:eastAsia="Arial" w:hAnsi="Arial"/>
          <w:sz w:val="17"/>
          <w:szCs w:val="17"/>
          <w:color w:val="auto"/>
        </w:rPr>
      </w:pPr>
    </w:p>
    <w:p>
      <w:pPr>
        <w:ind w:left="1740" w:hanging="435"/>
        <w:spacing w:after="0"/>
        <w:tabs>
          <w:tab w:leader="none" w:pos="17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any right, title or interest in and to any asset other than those specifically identified as Purchased Assets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0000EE"/>
        </w:rPr>
        <w:t>1.1</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1930400</wp:posOffset>
            </wp:positionH>
            <wp:positionV relativeFrom="paragraph">
              <wp:posOffset>-911225</wp:posOffset>
            </wp:positionV>
            <wp:extent cx="32194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1945" cy="8890"/>
                    </a:xfrm>
                    <a:prstGeom prst="rect">
                      <a:avLst/>
                    </a:prstGeom>
                    <a:noFill/>
                  </pic:spPr>
                </pic:pic>
              </a:graphicData>
            </a:graphic>
          </wp:anchor>
        </w:drawing>
      </w:r>
    </w:p>
    <w:p>
      <w:pPr>
        <w:spacing w:after="0" w:line="24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Assumed Liabilities</w:t>
      </w:r>
      <w:r>
        <w:rPr>
          <w:rFonts w:ascii="Arial" w:cs="Arial" w:eastAsia="Arial" w:hAnsi="Arial"/>
          <w:sz w:val="18"/>
          <w:szCs w:val="18"/>
          <w:color w:val="auto"/>
        </w:rPr>
        <w:t>. From and after the Closing, Purchasers shall assume and agree to defend, pay, discharge and perform as and when due only those Liabilities of Seller arising out of, or related to, the ownership, use or operation of the Purchased Assets to the extent arising out of facts, events or circumstances occurring after the Closing, including any Liabilities related to any Specified Employees for services performed by such employees after the Closing on behalf of Purchasers (collectively, the “</w:t>
      </w:r>
      <w:r>
        <w:rPr>
          <w:rFonts w:ascii="Arial" w:cs="Arial" w:eastAsia="Arial" w:hAnsi="Arial"/>
          <w:sz w:val="18"/>
          <w:szCs w:val="18"/>
          <w:u w:val="single" w:color="auto"/>
          <w:color w:val="auto"/>
        </w:rPr>
        <w:t>Assumed Liabilities</w:t>
      </w:r>
      <w:r>
        <w:rPr>
          <w:rFonts w:ascii="Arial" w:cs="Arial" w:eastAsia="Arial" w:hAnsi="Arial"/>
          <w:sz w:val="18"/>
          <w:szCs w:val="18"/>
          <w:color w:val="auto"/>
        </w:rPr>
        <w: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59" w:name="page60"/>
    <w:bookmarkEnd w:id="59"/>
    <w:p>
      <w:pPr>
        <w:jc w:val="both"/>
        <w:ind w:firstLine="648"/>
        <w:spacing w:after="0" w:line="283"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Excluded Liabilities</w:t>
      </w:r>
      <w:r>
        <w:rPr>
          <w:rFonts w:ascii="Arial" w:cs="Arial" w:eastAsia="Arial" w:hAnsi="Arial"/>
          <w:sz w:val="16"/>
          <w:szCs w:val="16"/>
          <w:color w:val="auto"/>
        </w:rPr>
        <w:t xml:space="preserve">. Except for those Liabilities assumed by Purchasers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0000EE"/>
        </w:rPr>
        <w:t>1.3</w:t>
      </w:r>
      <w:r>
        <w:rPr>
          <w:rFonts w:ascii="Arial" w:cs="Arial" w:eastAsia="Arial" w:hAnsi="Arial"/>
          <w:sz w:val="16"/>
          <w:szCs w:val="16"/>
          <w:color w:val="auto"/>
        </w:rPr>
        <w:t xml:space="preserve"> hereof, Purchasers shall not assume and shall not be liable for any Liabilities of any kind or nature whatsoever of Seller, and Seller shall retain and be solely responsible for the defense, payment, discharge and performance as and when due of all Liabilities of Seller that are not Assumed Liabilities, including, without limitation, Liabilities resulting from, arising out of or related to any (a) Excluded Asset, (b) Taxes, (c) indebtedness for borrowed money or deferred purchase price for property, (d) inter-company payables, loans or other inter-company Liabilities of any kind or nature, (e) breach of contract, breach of warranty, tort, infringement, violation of law or environmental, health or safety matter of any kind or nature arising, in whole or in part, out of facts, events, circumstances, actions or inactions occurring prior to the Closing, (f) litigation, claim, assessment, action, suit, proceeding, order, judgment, decree or investigation of any kind or nature arising out of facts, events, circumstances, actions or inactions occurring prior to the Closing, (g) Employee Plan, (h) employment and employee benefits-related claims, obligations and Liabilities of current or former employees, officers, directors or consultants arising at any time and relating to their employment with Seller,</w:t>
      </w:r>
    </w:p>
    <w:p>
      <w:pPr>
        <w:spacing w:after="0" w:line="7" w:lineRule="exact"/>
        <w:rPr>
          <w:sz w:val="20"/>
          <w:szCs w:val="20"/>
          <w:color w:val="auto"/>
        </w:rPr>
      </w:pPr>
    </w:p>
    <w:p>
      <w:pPr>
        <w:jc w:val="both"/>
        <w:ind w:firstLine="8"/>
        <w:spacing w:after="0" w:line="302" w:lineRule="auto"/>
        <w:tabs>
          <w:tab w:leader="none" w:pos="221" w:val="left"/>
        </w:tabs>
        <w:numPr>
          <w:ilvl w:val="0"/>
          <w:numId w:val="35"/>
        </w:numPr>
        <w:rPr>
          <w:rFonts w:ascii="Arial" w:cs="Arial" w:eastAsia="Arial" w:hAnsi="Arial"/>
          <w:sz w:val="16"/>
          <w:szCs w:val="16"/>
          <w:color w:val="auto"/>
        </w:rPr>
      </w:pPr>
      <w:r>
        <w:rPr>
          <w:rFonts w:ascii="Arial" w:cs="Arial" w:eastAsia="Arial" w:hAnsi="Arial"/>
          <w:sz w:val="16"/>
          <w:szCs w:val="16"/>
          <w:color w:val="auto"/>
        </w:rPr>
        <w:t>employment and employee benefits-related claims, obligations and Liabilities of the Specified Employees incurred in relation to the employee’s period of employment with Seller prior to and including the Closing Date, and (j) fees, costs or expenses incurred by Seller in connection with the preparation, negotiation, execution, delivery and performance of this Agreement and the other transactions contemplated hereby (collectively, the “</w:t>
      </w:r>
      <w:r>
        <w:rPr>
          <w:rFonts w:ascii="Arial" w:cs="Arial" w:eastAsia="Arial" w:hAnsi="Arial"/>
          <w:sz w:val="16"/>
          <w:szCs w:val="16"/>
          <w:u w:val="single" w:color="auto"/>
          <w:color w:val="auto"/>
        </w:rPr>
        <w:t>Excluded Liabilities</w:t>
      </w:r>
      <w:r>
        <w:rPr>
          <w:rFonts w:ascii="Arial" w:cs="Arial" w:eastAsia="Arial" w:hAnsi="Arial"/>
          <w:sz w:val="16"/>
          <w:szCs w:val="16"/>
          <w:color w:val="auto"/>
        </w:rPr>
        <w:t>”).</w:t>
      </w:r>
    </w:p>
    <w:p>
      <w:pPr>
        <w:spacing w:after="0" w:line="20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Amendment and Restatement of DSL License Agreement</w:t>
      </w:r>
      <w:r>
        <w:rPr>
          <w:rFonts w:ascii="Arial" w:cs="Arial" w:eastAsia="Arial" w:hAnsi="Arial"/>
          <w:sz w:val="18"/>
          <w:szCs w:val="18"/>
          <w:color w:val="auto"/>
        </w:rPr>
        <w:t xml:space="preserve">. Notwithstanding the purchase and sale of the Purchased Assets hereunder, Seller and Purchasers agree that the License Agreement entered into between Infineon Technologies AG and Seller with an effective date of October 1, 2007 shall be amended and re-stated as of the Closing Date in accordance with the form attached hereto as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1.5</w:t>
      </w:r>
      <w:r>
        <w:rPr>
          <w:rFonts w:ascii="Arial" w:cs="Arial" w:eastAsia="Arial" w:hAnsi="Arial"/>
          <w:sz w:val="18"/>
          <w:szCs w:val="18"/>
          <w:color w:val="auto"/>
        </w:rPr>
        <w:t>. In particular and for the avoidance of doubt, Seller and Purchasers agree that no term or condition set forth in this Agreement shall excuse Infineon Technologies AG (or its assignee) from complying with its obligations under the DSL License Agreement to pay Seller royalties for its sales of ADSL Products and VDSL Products pursuant to the royalty provisions of Appendix B of the DSL License Agreement. If there is a conflict between this Agreement and the DSL License Agreement with respect to Infineon Technologies AG’s (or its assignee’s) obligations to pay Seller royalties for its sales of ADSL Products and VDSL Products, the terms of the DSL License Agreement shall govern.</w:t>
      </w:r>
    </w:p>
    <w:p>
      <w:pPr>
        <w:spacing w:after="0" w:line="24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1.6 </w:t>
      </w:r>
      <w:r>
        <w:rPr>
          <w:rFonts w:ascii="Arial" w:cs="Arial" w:eastAsia="Arial" w:hAnsi="Arial"/>
          <w:sz w:val="17"/>
          <w:szCs w:val="17"/>
          <w:u w:val="single" w:color="auto"/>
          <w:color w:val="auto"/>
        </w:rPr>
        <w:t>Existing Support Agreements</w:t>
      </w:r>
      <w:r>
        <w:rPr>
          <w:rFonts w:ascii="Arial" w:cs="Arial" w:eastAsia="Arial" w:hAnsi="Arial"/>
          <w:sz w:val="17"/>
          <w:szCs w:val="17"/>
          <w:color w:val="auto"/>
        </w:rPr>
        <w:t>. Seller and Infineon Technologies AG are parties to Amendment No. 3, Amendment No. 6, Amendment No. 7 and Amendment No. 8 to the DSL License Agreement which cover development work and additional engineering support and technical support Seller provides to Purchaser. On the Closing Date, Seller and Purchasers agree that Amendment No. 3, Amendment No. 6, Amendment No. 7 and Amendment No. 8 shall immediately terminate. Seller and Purchasers agree that Purchasers shall pay to Seller within thirty (30) days following the Closing Date a pro rata amount for development work and additional engineering and technical support provided by Seller for which Purchasers have not yet paid Seller. On the Closing Date, Seller shall provide Purchasers with an invoice detailing the pro rata amount due.</w:t>
      </w:r>
    </w:p>
    <w:p>
      <w:pPr>
        <w:spacing w:after="0" w:line="2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Seller and Purchaser Test &amp; Diagnostic Cooperation</w:t>
      </w:r>
      <w:r>
        <w:rPr>
          <w:rFonts w:ascii="Arial" w:cs="Arial" w:eastAsia="Arial" w:hAnsi="Arial"/>
          <w:sz w:val="18"/>
          <w:szCs w:val="18"/>
          <w:color w:val="auto"/>
        </w:rPr>
        <w:t xml:space="preserve">. Seller and Purchasers agree to cooperate with respect to Seller’s development of test and diagnostic products as specified in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1.7</w:t>
      </w:r>
      <w:r>
        <w:rPr>
          <w:rFonts w:ascii="Arial" w:cs="Arial" w:eastAsia="Arial" w:hAnsi="Arial"/>
          <w:sz w:val="18"/>
          <w:szCs w:val="18"/>
          <w:color w:val="auto"/>
        </w:rPr>
        <w:t>.</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u w:val="single" w:color="auto"/>
          <w:color w:val="auto"/>
        </w:rPr>
        <w:t>Purchaser Lease of Seller Real Property</w:t>
      </w:r>
      <w:r>
        <w:rPr>
          <w:rFonts w:ascii="Arial" w:cs="Arial" w:eastAsia="Arial" w:hAnsi="Arial"/>
          <w:sz w:val="18"/>
          <w:szCs w:val="18"/>
          <w:color w:val="auto"/>
        </w:rPr>
        <w:t xml:space="preserve">. Beginning immediately after the Closing Date, Seller agrees to lease to Lantiq US office and lab space at Seller’s facilities at 40 Middlesex Turnpike, Bedford, Massachusetts 01730 subject to the terms of form of Lease Agreement attached hereto as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1.8</w:t>
      </w:r>
      <w:r>
        <w:rPr>
          <w:rFonts w:ascii="Arial" w:cs="Arial" w:eastAsia="Arial" w:hAnsi="Arial"/>
          <w:sz w:val="18"/>
          <w:szCs w:val="18"/>
          <w:color w:val="auto"/>
        </w:rPr>
        <w:t>.</w:t>
      </w:r>
    </w:p>
    <w:p>
      <w:pPr>
        <w:spacing w:after="0" w:line="23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1.9 </w:t>
      </w:r>
      <w:r>
        <w:rPr>
          <w:rFonts w:ascii="Arial" w:cs="Arial" w:eastAsia="Arial" w:hAnsi="Arial"/>
          <w:sz w:val="16"/>
          <w:szCs w:val="16"/>
          <w:u w:val="single" w:color="auto"/>
          <w:color w:val="auto"/>
        </w:rPr>
        <w:t>Purchase Price</w:t>
      </w:r>
      <w:r>
        <w:rPr>
          <w:rFonts w:ascii="Arial" w:cs="Arial" w:eastAsia="Arial" w:hAnsi="Arial"/>
          <w:sz w:val="16"/>
          <w:szCs w:val="16"/>
          <w:color w:val="auto"/>
        </w:rPr>
        <w:t>. At the Closing, upon the terms and subject to the conditions set forth herein, Purchasers shall pay to Seller, in consideration for the purchase of the Purchased Assets and the assumption of the Assumed Liabilities, an aggregate amount equal to $6,750,000.00 (the “</w:t>
      </w:r>
      <w:r>
        <w:rPr>
          <w:rFonts w:ascii="Arial" w:cs="Arial" w:eastAsia="Arial" w:hAnsi="Arial"/>
          <w:sz w:val="16"/>
          <w:szCs w:val="16"/>
          <w:u w:val="single" w:color="auto"/>
          <w:color w:val="auto"/>
        </w:rPr>
        <w:t>Purchase Price</w:t>
      </w:r>
      <w:r>
        <w:rPr>
          <w:rFonts w:ascii="Arial" w:cs="Arial" w:eastAsia="Arial" w:hAnsi="Arial"/>
          <w:sz w:val="16"/>
          <w:szCs w:val="16"/>
          <w:color w:val="auto"/>
        </w:rPr>
        <w:t>”) by wire transfer of immediately available funds to an account designated in writing by Seller not less than two (2) business days prior to the Closing.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60" w:name="page61"/>
    <w:bookmarkEnd w:id="60"/>
    <w:p>
      <w:pPr>
        <w:jc w:val="both"/>
        <w:ind w:firstLine="648"/>
        <w:spacing w:after="0" w:line="270" w:lineRule="auto"/>
        <w:rPr>
          <w:sz w:val="20"/>
          <w:szCs w:val="20"/>
          <w:color w:val="auto"/>
        </w:rPr>
      </w:pPr>
      <w:r>
        <w:rPr>
          <w:rFonts w:ascii="Arial" w:cs="Arial" w:eastAsia="Arial" w:hAnsi="Arial"/>
          <w:sz w:val="17"/>
          <w:szCs w:val="17"/>
          <w:color w:val="auto"/>
        </w:rPr>
        <w:t xml:space="preserve">1.10 </w:t>
      </w:r>
      <w:r>
        <w:rPr>
          <w:rFonts w:ascii="Arial" w:cs="Arial" w:eastAsia="Arial" w:hAnsi="Arial"/>
          <w:sz w:val="17"/>
          <w:szCs w:val="17"/>
          <w:u w:val="single" w:color="auto"/>
          <w:color w:val="auto"/>
        </w:rPr>
        <w:t>Closing</w:t>
      </w:r>
      <w:r>
        <w:rPr>
          <w:rFonts w:ascii="Arial" w:cs="Arial" w:eastAsia="Arial" w:hAnsi="Arial"/>
          <w:sz w:val="17"/>
          <w:szCs w:val="17"/>
          <w:color w:val="auto"/>
        </w:rPr>
        <w:t>. Subject to the satisfaction or waiver of the conditions contained in this Agreement, the closing of the purchase and sale of the Purchased Assets and assignment and assumption of the Assumed Liabilities (the “</w:t>
      </w:r>
      <w:r>
        <w:rPr>
          <w:rFonts w:ascii="Arial" w:cs="Arial" w:eastAsia="Arial" w:hAnsi="Arial"/>
          <w:sz w:val="17"/>
          <w:szCs w:val="17"/>
          <w:u w:val="single" w:color="auto"/>
          <w:color w:val="auto"/>
        </w:rPr>
        <w:t>Closing</w:t>
      </w:r>
      <w:r>
        <w:rPr>
          <w:rFonts w:ascii="Arial" w:cs="Arial" w:eastAsia="Arial" w:hAnsi="Arial"/>
          <w:sz w:val="17"/>
          <w:szCs w:val="17"/>
          <w:color w:val="auto"/>
        </w:rPr>
        <w:t xml:space="preserve">”) will take place on the date that is five (5) business days following the satisfaction or waiver of each of the conditions set forth in </w:t>
      </w:r>
      <w:r>
        <w:rPr>
          <w:rFonts w:ascii="Arial" w:cs="Arial" w:eastAsia="Arial" w:hAnsi="Arial"/>
          <w:sz w:val="17"/>
          <w:szCs w:val="17"/>
          <w:u w:val="single" w:color="auto"/>
          <w:color w:val="0000EE"/>
        </w:rPr>
        <w:t>Article 5</w:t>
      </w:r>
      <w:r>
        <w:rPr>
          <w:rFonts w:ascii="Arial" w:cs="Arial" w:eastAsia="Arial" w:hAnsi="Arial"/>
          <w:sz w:val="17"/>
          <w:szCs w:val="17"/>
          <w:color w:val="auto"/>
        </w:rPr>
        <w:t xml:space="preserve"> (other than those that by their terms are to be satisfied or waived at the Closing), or at such other time as may be mutually agreeable to Seller and Purchasers. The date of the Closing is herein referred to as the “</w:t>
      </w:r>
      <w:r>
        <w:rPr>
          <w:rFonts w:ascii="Arial" w:cs="Arial" w:eastAsia="Arial" w:hAnsi="Arial"/>
          <w:sz w:val="17"/>
          <w:szCs w:val="17"/>
          <w:u w:val="single" w:color="auto"/>
          <w:color w:val="auto"/>
        </w:rPr>
        <w:t>Closing Date</w:t>
      </w:r>
      <w:r>
        <w:rPr>
          <w:rFonts w:ascii="Arial" w:cs="Arial" w:eastAsia="Arial" w:hAnsi="Arial"/>
          <w:sz w:val="17"/>
          <w:szCs w:val="17"/>
          <w:color w:val="auto"/>
        </w:rPr>
        <w:t xml:space="preserve">.” At the Closing, (a) Seller shall deliver to Purchasers the Purchased Assets, (b) Purchasers shall deliver to Seller the Purchase Price and shall assume the Assumed Liabilities, and (c) Seller and Purchasers and their respective Affiliates shall deliver the documents, certificates and other instruments that are required to be delivered by or on behalf of such Person under </w:t>
      </w:r>
      <w:r>
        <w:rPr>
          <w:rFonts w:ascii="Arial" w:cs="Arial" w:eastAsia="Arial" w:hAnsi="Arial"/>
          <w:sz w:val="17"/>
          <w:szCs w:val="17"/>
          <w:u w:val="single" w:color="auto"/>
          <w:color w:val="auto"/>
        </w:rPr>
        <w:t>Article 2</w:t>
      </w:r>
      <w:r>
        <w:rPr>
          <w:rFonts w:ascii="Arial" w:cs="Arial" w:eastAsia="Arial" w:hAnsi="Arial"/>
          <w:sz w:val="17"/>
          <w:szCs w:val="17"/>
          <w:color w:val="auto"/>
        </w:rPr>
        <w:t xml:space="preserve"> hereof and as may reasonably be required to effect the transfer by Seller to Purchasers of the Purchased Assets and the assumption by Purchasers of the Assumed Liabilities pursuant to and as contemplated by this Agreement. All events which shall occur at the Closing shall be deemed to occur simultaneously.</w:t>
      </w:r>
    </w:p>
    <w:p>
      <w:pPr>
        <w:spacing w:after="0" w:line="23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Transfer Taxes</w:t>
      </w:r>
      <w:r>
        <w:rPr>
          <w:rFonts w:ascii="Arial" w:cs="Arial" w:eastAsia="Arial" w:hAnsi="Arial"/>
          <w:sz w:val="18"/>
          <w:szCs w:val="18"/>
          <w:color w:val="auto"/>
        </w:rPr>
        <w:t xml:space="preserve">. Purchasers and Seller shall each be responsible for and pay, as and when due, one-half of the payment of any transfer taxes arising out of or in connection with the Closing;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Seller shall remain responsible for any other Taxes (including any Taxes based on income, sales Taxes, use Taxes or VAT) incurred in connection with Seller’s conduct of the Business and use or ownership of the Purchased Assets prior to the Closing Date.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CLOSING DELIVERIES</w:t>
      </w:r>
    </w:p>
    <w:p>
      <w:pPr>
        <w:spacing w:after="0" w:line="27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Conditions to Purchasers’ Obligations</w:t>
      </w:r>
      <w:r>
        <w:rPr>
          <w:rFonts w:ascii="Arial" w:cs="Arial" w:eastAsia="Arial" w:hAnsi="Arial"/>
          <w:sz w:val="18"/>
          <w:szCs w:val="18"/>
          <w:color w:val="auto"/>
        </w:rPr>
        <w:t>. The obligations of Purchasers to consummate the transactions contemplated by this Agreement are subject to the fulfillment of the following conditions as of the Closing Date:</w:t>
      </w:r>
    </w:p>
    <w:p>
      <w:pPr>
        <w:spacing w:after="0" w:line="224" w:lineRule="exact"/>
        <w:rPr>
          <w:sz w:val="20"/>
          <w:szCs w:val="20"/>
          <w:color w:val="auto"/>
        </w:rPr>
      </w:pPr>
    </w:p>
    <w:p>
      <w:pPr>
        <w:jc w:val="both"/>
        <w:ind w:firstLine="1305"/>
        <w:spacing w:after="0" w:line="312" w:lineRule="auto"/>
        <w:tabs>
          <w:tab w:leader="none" w:pos="1712"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set forth in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hereof shall be true and correct in all material respects and the representations and warranties set forth in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which are qualified by materiality shall be true and correct in all respects, in each case at and as of the Closing Date as though then made and as though the Closing Date were substituted for the date of this Agreement throughout such representations and warranties.</w:t>
      </w:r>
    </w:p>
    <w:p>
      <w:pPr>
        <w:spacing w:after="0" w:line="200" w:lineRule="exact"/>
        <w:rPr>
          <w:rFonts w:ascii="Arial" w:cs="Arial" w:eastAsia="Arial" w:hAnsi="Arial"/>
          <w:sz w:val="16"/>
          <w:szCs w:val="16"/>
          <w:color w:val="auto"/>
        </w:rPr>
      </w:pPr>
    </w:p>
    <w:p>
      <w:pPr>
        <w:ind w:firstLine="1305"/>
        <w:spacing w:after="0" w:line="277" w:lineRule="auto"/>
        <w:tabs>
          <w:tab w:leader="none" w:pos="1722"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Seller shall have performed and complied in all material respects with all of the covenants and agreements required to be performed by it under this Agreement on or prior to the Closing.</w:t>
      </w:r>
    </w:p>
    <w:p>
      <w:pPr>
        <w:spacing w:after="0" w:line="224" w:lineRule="exact"/>
        <w:rPr>
          <w:rFonts w:ascii="Arial" w:cs="Arial" w:eastAsia="Arial" w:hAnsi="Arial"/>
          <w:sz w:val="18"/>
          <w:szCs w:val="18"/>
          <w:color w:val="auto"/>
        </w:rPr>
      </w:pPr>
    </w:p>
    <w:p>
      <w:pPr>
        <w:jc w:val="both"/>
        <w:ind w:firstLine="1305"/>
        <w:spacing w:after="0" w:line="279" w:lineRule="auto"/>
        <w:tabs>
          <w:tab w:leader="none" w:pos="1726" w:val="left"/>
        </w:tabs>
        <w:numPr>
          <w:ilvl w:val="0"/>
          <w:numId w:val="36"/>
        </w:numPr>
        <w:rPr>
          <w:rFonts w:ascii="Arial" w:cs="Arial" w:eastAsia="Arial" w:hAnsi="Arial"/>
          <w:sz w:val="17"/>
          <w:szCs w:val="17"/>
          <w:color w:val="auto"/>
        </w:rPr>
      </w:pPr>
      <w:r>
        <w:rPr>
          <w:rFonts w:ascii="Arial" w:cs="Arial" w:eastAsia="Arial" w:hAnsi="Arial"/>
          <w:sz w:val="17"/>
          <w:szCs w:val="17"/>
          <w:color w:val="auto"/>
        </w:rPr>
        <w:t>No action, suit, or proceeding shall be pending or threatened before any Governmental Entity wherein an unfavorable judgment or ruling would prevent the performance of this Agreement or any of the transactions contemplated hereby, declare unlawful the transactions contemplated by this Agreement, cause such transactions to be rescinded or materially and adversely affect the right of Seller to own or operate the Business, and no judgment, decree, injunction, order or ruling shall have been entered which has any of the foregoing effects.</w:t>
      </w:r>
    </w:p>
    <w:p>
      <w:pPr>
        <w:spacing w:after="0" w:line="225" w:lineRule="exact"/>
        <w:rPr>
          <w:rFonts w:ascii="Arial" w:cs="Arial" w:eastAsia="Arial" w:hAnsi="Arial"/>
          <w:sz w:val="17"/>
          <w:szCs w:val="17"/>
          <w:color w:val="auto"/>
        </w:rPr>
      </w:pPr>
    </w:p>
    <w:p>
      <w:pPr>
        <w:ind w:left="1740" w:hanging="435"/>
        <w:spacing w:after="0"/>
        <w:tabs>
          <w:tab w:leader="none" w:pos="17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On or prior to the Closing Date, Seller shall have delivered or caused to be delivered to Purchasers or Purchasers’ counsel all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following:</w:t>
      </w:r>
    </w:p>
    <w:p>
      <w:pPr>
        <w:spacing w:after="0" w:line="264" w:lineRule="exact"/>
        <w:rPr>
          <w:rFonts w:ascii="Arial" w:cs="Arial" w:eastAsia="Arial" w:hAnsi="Arial"/>
          <w:sz w:val="16"/>
          <w:szCs w:val="16"/>
          <w:color w:val="auto"/>
        </w:rPr>
      </w:pPr>
    </w:p>
    <w:p>
      <w:pPr>
        <w:ind w:firstLine="1953"/>
        <w:spacing w:after="0" w:line="277" w:lineRule="auto"/>
        <w:tabs>
          <w:tab w:leader="none" w:pos="2389"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a certificate from Seller, in form and substance reasonably satisfactory to Purchasers, dated as of the Closing Date, stating that the preconditions specified in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2.1(a)</w:t>
      </w:r>
      <w:r>
        <w:rPr>
          <w:rFonts w:ascii="Arial" w:cs="Arial" w:eastAsia="Arial" w:hAnsi="Arial"/>
          <w:sz w:val="18"/>
          <w:szCs w:val="18"/>
          <w:color w:val="auto"/>
        </w:rPr>
        <w:t xml:space="preserve"> and </w:t>
      </w:r>
      <w:r>
        <w:rPr>
          <w:rFonts w:ascii="Arial" w:cs="Arial" w:eastAsia="Arial" w:hAnsi="Arial"/>
          <w:sz w:val="18"/>
          <w:szCs w:val="18"/>
          <w:u w:val="single" w:color="auto"/>
          <w:color w:val="0000EE"/>
        </w:rPr>
        <w:t>2.1(b)</w:t>
      </w:r>
      <w:r>
        <w:rPr>
          <w:rFonts w:ascii="Arial" w:cs="Arial" w:eastAsia="Arial" w:hAnsi="Arial"/>
          <w:sz w:val="18"/>
          <w:szCs w:val="18"/>
          <w:color w:val="auto"/>
        </w:rPr>
        <w:t xml:space="preserve"> have been satisfied;</w:t>
      </w:r>
    </w:p>
    <w:p>
      <w:pPr>
        <w:spacing w:after="0" w:line="224" w:lineRule="exact"/>
        <w:rPr>
          <w:rFonts w:ascii="Arial" w:cs="Arial" w:eastAsia="Arial" w:hAnsi="Arial"/>
          <w:sz w:val="18"/>
          <w:szCs w:val="18"/>
          <w:color w:val="auto"/>
        </w:rPr>
      </w:pPr>
    </w:p>
    <w:p>
      <w:pPr>
        <w:ind w:left="2380" w:hanging="427"/>
        <w:spacing w:after="0"/>
        <w:tabs>
          <w:tab w:leader="none" w:pos="2380" w:val="left"/>
        </w:tabs>
        <w:numPr>
          <w:ilvl w:val="1"/>
          <w:numId w:val="36"/>
        </w:numPr>
        <w:rPr>
          <w:rFonts w:ascii="Arial" w:cs="Arial" w:eastAsia="Arial" w:hAnsi="Arial"/>
          <w:sz w:val="17"/>
          <w:szCs w:val="17"/>
          <w:color w:val="auto"/>
        </w:rPr>
      </w:pPr>
      <w:r>
        <w:rPr>
          <w:rFonts w:ascii="Arial" w:cs="Arial" w:eastAsia="Arial" w:hAnsi="Arial"/>
          <w:sz w:val="17"/>
          <w:szCs w:val="17"/>
          <w:color w:val="auto"/>
        </w:rPr>
        <w:t xml:space="preserve">the Bill of Sale and Assumption of Liabilities Agreement attached hereto as </w:t>
      </w:r>
      <w:r>
        <w:rPr>
          <w:rFonts w:ascii="Arial" w:cs="Arial" w:eastAsia="Arial" w:hAnsi="Arial"/>
          <w:sz w:val="17"/>
          <w:szCs w:val="17"/>
          <w:u w:val="single" w:color="auto"/>
          <w:color w:val="auto"/>
        </w:rPr>
        <w:t>Schedule 2.1(d)(ii)</w:t>
      </w:r>
      <w:r>
        <w:rPr>
          <w:rFonts w:ascii="Arial" w:cs="Arial" w:eastAsia="Arial" w:hAnsi="Arial"/>
          <w:sz w:val="17"/>
          <w:szCs w:val="17"/>
          <w:color w:val="auto"/>
        </w:rPr>
        <w:t xml:space="preserve"> executed by Seller;</w:t>
      </w:r>
    </w:p>
    <w:p>
      <w:pPr>
        <w:spacing w:after="0" w:line="290" w:lineRule="exact"/>
        <w:rPr>
          <w:rFonts w:ascii="Arial" w:cs="Arial" w:eastAsia="Arial" w:hAnsi="Arial"/>
          <w:sz w:val="17"/>
          <w:szCs w:val="17"/>
          <w:color w:val="auto"/>
        </w:rPr>
      </w:pPr>
    </w:p>
    <w:p>
      <w:pPr>
        <w:ind w:left="2440" w:hanging="487"/>
        <w:spacing w:after="0"/>
        <w:tabs>
          <w:tab w:leader="none" w:pos="24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the Patent Assignment Agreement attached hereto as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1.1(a)(i)</w:t>
      </w:r>
      <w:r>
        <w:rPr>
          <w:rFonts w:ascii="Arial" w:cs="Arial" w:eastAsia="Arial" w:hAnsi="Arial"/>
          <w:sz w:val="18"/>
          <w:szCs w:val="18"/>
          <w:color w:val="auto"/>
        </w:rPr>
        <w:t xml:space="preserve"> executed by Seller;</w:t>
      </w:r>
    </w:p>
    <w:p>
      <w:pPr>
        <w:spacing w:after="0" w:line="279" w:lineRule="exact"/>
        <w:rPr>
          <w:rFonts w:ascii="Arial" w:cs="Arial" w:eastAsia="Arial" w:hAnsi="Arial"/>
          <w:sz w:val="18"/>
          <w:szCs w:val="18"/>
          <w:color w:val="auto"/>
        </w:rPr>
      </w:pPr>
    </w:p>
    <w:p>
      <w:pPr>
        <w:ind w:left="2420" w:hanging="467"/>
        <w:spacing w:after="0"/>
        <w:tabs>
          <w:tab w:leader="none" w:pos="2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the Amended and Restated DSL License Agreement attached hereto as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1.5</w:t>
      </w:r>
      <w:r>
        <w:rPr>
          <w:rFonts w:ascii="Arial" w:cs="Arial" w:eastAsia="Arial" w:hAnsi="Arial"/>
          <w:sz w:val="18"/>
          <w:szCs w:val="18"/>
          <w:color w:val="auto"/>
        </w:rPr>
        <w:t xml:space="preserve"> executed by Seller;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61" w:name="page62"/>
    <w:bookmarkEnd w:id="61"/>
    <w:p>
      <w:pPr>
        <w:ind w:left="2380" w:hanging="427"/>
        <w:spacing w:after="0"/>
        <w:tabs>
          <w:tab w:leader="none" w:pos="23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the Lease Agreement attached hereto as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1.8</w:t>
      </w:r>
      <w:r>
        <w:rPr>
          <w:rFonts w:ascii="Arial" w:cs="Arial" w:eastAsia="Arial" w:hAnsi="Arial"/>
          <w:sz w:val="18"/>
          <w:szCs w:val="18"/>
          <w:color w:val="auto"/>
        </w:rPr>
        <w:t xml:space="preserve"> executed by Seller;</w:t>
      </w:r>
    </w:p>
    <w:p>
      <w:pPr>
        <w:spacing w:after="0" w:line="279" w:lineRule="exact"/>
        <w:rPr>
          <w:rFonts w:ascii="Arial" w:cs="Arial" w:eastAsia="Arial" w:hAnsi="Arial"/>
          <w:sz w:val="18"/>
          <w:szCs w:val="18"/>
          <w:color w:val="auto"/>
        </w:rPr>
      </w:pPr>
    </w:p>
    <w:p>
      <w:pPr>
        <w:jc w:val="both"/>
        <w:ind w:firstLine="1953"/>
        <w:spacing w:after="0" w:line="286" w:lineRule="auto"/>
        <w:tabs>
          <w:tab w:leader="none" w:pos="2421" w:val="left"/>
        </w:tabs>
        <w:numPr>
          <w:ilvl w:val="1"/>
          <w:numId w:val="37"/>
        </w:numPr>
        <w:rPr>
          <w:rFonts w:ascii="Arial" w:cs="Arial" w:eastAsia="Arial" w:hAnsi="Arial"/>
          <w:sz w:val="17"/>
          <w:szCs w:val="17"/>
          <w:color w:val="auto"/>
        </w:rPr>
      </w:pPr>
      <w:r>
        <w:rPr>
          <w:rFonts w:ascii="Arial" w:cs="Arial" w:eastAsia="Arial" w:hAnsi="Arial"/>
          <w:sz w:val="17"/>
          <w:szCs w:val="17"/>
          <w:color w:val="auto"/>
        </w:rPr>
        <w:t xml:space="preserve">copies of all third party, governmental and regulatory consents, approvals, filings, releases, terminations, payoff letters, etc. required in connection with the consummation of the transactions contemplated by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with respect to Purchased Inbound License Agreements, only to the extent such agreements are assignable without the prior written consent of another Person;</w:t>
      </w:r>
    </w:p>
    <w:p>
      <w:pPr>
        <w:spacing w:after="0" w:line="219" w:lineRule="exact"/>
        <w:rPr>
          <w:rFonts w:ascii="Arial" w:cs="Arial" w:eastAsia="Arial" w:hAnsi="Arial"/>
          <w:sz w:val="17"/>
          <w:szCs w:val="17"/>
          <w:color w:val="auto"/>
        </w:rPr>
      </w:pPr>
    </w:p>
    <w:p>
      <w:pPr>
        <w:ind w:firstLine="1953"/>
        <w:spacing w:after="0" w:line="308" w:lineRule="auto"/>
        <w:tabs>
          <w:tab w:leader="none" w:pos="2484" w:val="left"/>
        </w:tabs>
        <w:numPr>
          <w:ilvl w:val="1"/>
          <w:numId w:val="37"/>
        </w:numPr>
        <w:rPr>
          <w:rFonts w:ascii="Arial" w:cs="Arial" w:eastAsia="Arial" w:hAnsi="Arial"/>
          <w:sz w:val="17"/>
          <w:szCs w:val="17"/>
          <w:color w:val="auto"/>
        </w:rPr>
      </w:pPr>
      <w:r>
        <w:rPr>
          <w:rFonts w:ascii="Arial" w:cs="Arial" w:eastAsia="Arial" w:hAnsi="Arial"/>
          <w:sz w:val="17"/>
          <w:szCs w:val="17"/>
          <w:color w:val="auto"/>
        </w:rPr>
        <w:t>a non-foreign affidavit, dated as of the Closing Date, sworn under penalty of perjury and in form and substance required under the Treasury Regulations issued pursuant to Code §1445 stating that Seller is not a “Foreign Person” as defined in Code §1445; and</w:t>
      </w:r>
    </w:p>
    <w:p>
      <w:pPr>
        <w:spacing w:after="0" w:line="200" w:lineRule="exact"/>
        <w:rPr>
          <w:rFonts w:ascii="Arial" w:cs="Arial" w:eastAsia="Arial" w:hAnsi="Arial"/>
          <w:sz w:val="17"/>
          <w:szCs w:val="17"/>
          <w:color w:val="auto"/>
        </w:rPr>
      </w:pPr>
    </w:p>
    <w:p>
      <w:pPr>
        <w:ind w:left="2520" w:hanging="567"/>
        <w:spacing w:after="0"/>
        <w:tabs>
          <w:tab w:leader="none" w:pos="25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such other documents or instruments as Purchasers may reasonably request to effect the transactions contemplated hereby.</w:t>
      </w:r>
    </w:p>
    <w:p>
      <w:pPr>
        <w:spacing w:after="0" w:line="302" w:lineRule="exact"/>
        <w:rPr>
          <w:rFonts w:ascii="Arial" w:cs="Arial" w:eastAsia="Arial" w:hAnsi="Arial"/>
          <w:sz w:val="16"/>
          <w:szCs w:val="16"/>
          <w:color w:val="auto"/>
        </w:rPr>
      </w:pPr>
    </w:p>
    <w:p>
      <w:pPr>
        <w:jc w:val="both"/>
        <w:ind w:firstLine="1305"/>
        <w:spacing w:after="0" w:line="264" w:lineRule="auto"/>
        <w:tabs>
          <w:tab w:leader="none" w:pos="1726"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proceedings to be taken by Seller in connection with the consummation of the Closing and the other transactions contemplated hereby and all certificates, instruments and other documents required to be delivered by Seller to effect the transactions contemplated hereby shall be reasonably satisfactory in form and substance to Buyer.</w:t>
      </w:r>
    </w:p>
    <w:p>
      <w:pPr>
        <w:spacing w:after="0" w:line="235" w:lineRule="exact"/>
        <w:rPr>
          <w:rFonts w:ascii="Arial" w:cs="Arial" w:eastAsia="Arial" w:hAnsi="Arial"/>
          <w:sz w:val="18"/>
          <w:szCs w:val="18"/>
          <w:color w:val="auto"/>
        </w:rPr>
      </w:pPr>
    </w:p>
    <w:p>
      <w:pPr>
        <w:jc w:val="both"/>
        <w:ind w:firstLine="1305"/>
        <w:spacing w:after="0" w:line="312" w:lineRule="auto"/>
        <w:tabs>
          <w:tab w:leader="none" w:pos="1706"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closing of the transactions contemplated by that certain Asset Purchase Agreement, dated as of July 7, 2009, by and between Infineon Technologies AG, a stock corporation (Aktiengesellschaft) under the laws of the Federal Republic of Germany, and Wireline Holding S.á.r.l., a company incorporated as a société á responsibilité limitée and existing under the laws of the Grand Duchy of Luxembourg, shall have occurred.</w:t>
      </w:r>
    </w:p>
    <w:p>
      <w:pPr>
        <w:spacing w:after="0" w:line="17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Any condition specified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2.1</w:t>
      </w:r>
      <w:r>
        <w:rPr>
          <w:rFonts w:ascii="Arial" w:cs="Arial" w:eastAsia="Arial" w:hAnsi="Arial"/>
          <w:sz w:val="18"/>
          <w:szCs w:val="18"/>
          <w:color w:val="auto"/>
        </w:rPr>
        <w:t xml:space="preserve"> may be waived by Purchasers;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waiver shall be effective unless it is set forth in a writing executed by each Purchaser or unless each Purchaser agrees in writing to consummate the transactions contemplated by this Agreement without fulfillment of such condition.</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Conditions to Seller’s Obligations</w:t>
      </w:r>
      <w:r>
        <w:rPr>
          <w:rFonts w:ascii="Arial" w:cs="Arial" w:eastAsia="Arial" w:hAnsi="Arial"/>
          <w:sz w:val="18"/>
          <w:szCs w:val="18"/>
          <w:color w:val="auto"/>
        </w:rPr>
        <w:t>. The obligations of Seller to consummate the transactions contemplated by this Agreement is subject to the fulfillment of the following conditions as of the Closing Date:</w:t>
      </w:r>
    </w:p>
    <w:p>
      <w:pPr>
        <w:spacing w:after="0" w:line="224" w:lineRule="exact"/>
        <w:rPr>
          <w:sz w:val="20"/>
          <w:szCs w:val="20"/>
          <w:color w:val="auto"/>
        </w:rPr>
      </w:pPr>
    </w:p>
    <w:p>
      <w:pPr>
        <w:jc w:val="both"/>
        <w:ind w:firstLine="1305"/>
        <w:spacing w:after="0" w:line="286" w:lineRule="auto"/>
        <w:tabs>
          <w:tab w:leader="none" w:pos="1712"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set forth in </w:t>
      </w:r>
      <w:r>
        <w:rPr>
          <w:rFonts w:ascii="Arial" w:cs="Arial" w:eastAsia="Arial" w:hAnsi="Arial"/>
          <w:sz w:val="17"/>
          <w:szCs w:val="17"/>
          <w:u w:val="single" w:color="auto"/>
          <w:color w:val="auto"/>
        </w:rPr>
        <w:t>Article 5</w:t>
      </w:r>
      <w:r>
        <w:rPr>
          <w:rFonts w:ascii="Arial" w:cs="Arial" w:eastAsia="Arial" w:hAnsi="Arial"/>
          <w:sz w:val="17"/>
          <w:szCs w:val="17"/>
          <w:color w:val="auto"/>
        </w:rPr>
        <w:t xml:space="preserve"> shall be true and correct in all material respects and the representations and warranties set forth in </w:t>
      </w:r>
      <w:r>
        <w:rPr>
          <w:rFonts w:ascii="Arial" w:cs="Arial" w:eastAsia="Arial" w:hAnsi="Arial"/>
          <w:sz w:val="17"/>
          <w:szCs w:val="17"/>
          <w:u w:val="single" w:color="auto"/>
          <w:color w:val="auto"/>
        </w:rPr>
        <w:t>Article 5</w:t>
      </w:r>
      <w:r>
        <w:rPr>
          <w:rFonts w:ascii="Arial" w:cs="Arial" w:eastAsia="Arial" w:hAnsi="Arial"/>
          <w:sz w:val="17"/>
          <w:szCs w:val="17"/>
          <w:color w:val="auto"/>
        </w:rPr>
        <w:t xml:space="preserve"> which are qualified by materiality shall be true and correct in all respects, in each case at and as of the Closing Date as though then made and as though the Closing Date were substituted for the date of this Agreement throughout such representations and warranties.</w:t>
      </w:r>
    </w:p>
    <w:p>
      <w:pPr>
        <w:spacing w:after="0" w:line="219" w:lineRule="exact"/>
        <w:rPr>
          <w:rFonts w:ascii="Arial" w:cs="Arial" w:eastAsia="Arial" w:hAnsi="Arial"/>
          <w:sz w:val="17"/>
          <w:szCs w:val="17"/>
          <w:color w:val="auto"/>
        </w:rPr>
      </w:pPr>
    </w:p>
    <w:p>
      <w:pPr>
        <w:jc w:val="both"/>
        <w:ind w:firstLine="1305"/>
        <w:spacing w:after="0" w:line="264" w:lineRule="auto"/>
        <w:tabs>
          <w:tab w:leader="none" w:pos="1736"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Each Purchaser shall have performed and complied in all material respects with all of the covenants and agreements required to be performed by it under this Agreement on or prior to the Closing, including, but not limited to, delivering the Purchase Price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1.9</w:t>
      </w:r>
      <w:r>
        <w:rPr>
          <w:rFonts w:ascii="Arial" w:cs="Arial" w:eastAsia="Arial" w:hAnsi="Arial"/>
          <w:sz w:val="18"/>
          <w:szCs w:val="18"/>
          <w:color w:val="auto"/>
        </w:rPr>
        <w:t xml:space="preserve"> above.</w:t>
      </w:r>
    </w:p>
    <w:p>
      <w:pPr>
        <w:spacing w:after="0" w:line="235" w:lineRule="exact"/>
        <w:rPr>
          <w:rFonts w:ascii="Arial" w:cs="Arial" w:eastAsia="Arial" w:hAnsi="Arial"/>
          <w:sz w:val="18"/>
          <w:szCs w:val="18"/>
          <w:color w:val="auto"/>
        </w:rPr>
      </w:pPr>
    </w:p>
    <w:p>
      <w:pPr>
        <w:ind w:left="1720" w:hanging="415"/>
        <w:spacing w:after="0"/>
        <w:tabs>
          <w:tab w:leader="none" w:pos="1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or prior to the Closing Date, Purchasers shall have delivered to Seller or Seller’s counsel all of the following:</w:t>
      </w:r>
    </w:p>
    <w:p>
      <w:pPr>
        <w:spacing w:after="0" w:line="279" w:lineRule="exact"/>
        <w:rPr>
          <w:rFonts w:ascii="Arial" w:cs="Arial" w:eastAsia="Arial" w:hAnsi="Arial"/>
          <w:sz w:val="18"/>
          <w:szCs w:val="18"/>
          <w:color w:val="auto"/>
        </w:rPr>
      </w:pPr>
    </w:p>
    <w:p>
      <w:pPr>
        <w:ind w:firstLine="1953"/>
        <w:spacing w:after="0" w:line="277" w:lineRule="auto"/>
        <w:tabs>
          <w:tab w:leader="none" w:pos="2344"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a certificate from each Buyer, in form and substance reasonably satisfactory to Seller, dated as of the Closing Date, stating that the preconditions specified in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2.2(a)</w:t>
      </w:r>
      <w:r>
        <w:rPr>
          <w:rFonts w:ascii="Arial" w:cs="Arial" w:eastAsia="Arial" w:hAnsi="Arial"/>
          <w:sz w:val="18"/>
          <w:szCs w:val="18"/>
          <w:color w:val="auto"/>
        </w:rPr>
        <w:t xml:space="preserve"> and </w:t>
      </w:r>
      <w:r>
        <w:rPr>
          <w:rFonts w:ascii="Arial" w:cs="Arial" w:eastAsia="Arial" w:hAnsi="Arial"/>
          <w:sz w:val="18"/>
          <w:szCs w:val="18"/>
          <w:u w:val="single" w:color="auto"/>
          <w:color w:val="0000EE"/>
        </w:rPr>
        <w:t>2.2(b)</w:t>
      </w:r>
      <w:r>
        <w:rPr>
          <w:rFonts w:ascii="Arial" w:cs="Arial" w:eastAsia="Arial" w:hAnsi="Arial"/>
          <w:sz w:val="18"/>
          <w:szCs w:val="18"/>
          <w:color w:val="auto"/>
        </w:rPr>
        <w:t xml:space="preserve"> have been satisfied;</w:t>
      </w:r>
    </w:p>
    <w:p>
      <w:pPr>
        <w:spacing w:after="0" w:line="224" w:lineRule="exact"/>
        <w:rPr>
          <w:rFonts w:ascii="Arial" w:cs="Arial" w:eastAsia="Arial" w:hAnsi="Arial"/>
          <w:sz w:val="18"/>
          <w:szCs w:val="18"/>
          <w:color w:val="auto"/>
        </w:rPr>
      </w:pPr>
    </w:p>
    <w:p>
      <w:pPr>
        <w:ind w:left="2380" w:hanging="427"/>
        <w:spacing w:after="0"/>
        <w:tabs>
          <w:tab w:leader="none" w:pos="23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 xml:space="preserve">the Bill of Sale and Assumption of Liabilities Agreement attached hereto as </w:t>
      </w:r>
      <w:r>
        <w:rPr>
          <w:rFonts w:ascii="Arial" w:cs="Arial" w:eastAsia="Arial" w:hAnsi="Arial"/>
          <w:sz w:val="16"/>
          <w:szCs w:val="16"/>
          <w:u w:val="single" w:color="auto"/>
          <w:color w:val="auto"/>
        </w:rPr>
        <w:t>Schedule 2.1(d)(ii)</w:t>
      </w:r>
      <w:r>
        <w:rPr>
          <w:rFonts w:ascii="Arial" w:cs="Arial" w:eastAsia="Arial" w:hAnsi="Arial"/>
          <w:sz w:val="16"/>
          <w:szCs w:val="16"/>
          <w:color w:val="auto"/>
        </w:rPr>
        <w:t xml:space="preserve"> executed by each Purchaser;</w:t>
      </w:r>
    </w:p>
    <w:p>
      <w:pPr>
        <w:spacing w:after="0" w:line="302" w:lineRule="exact"/>
        <w:rPr>
          <w:rFonts w:ascii="Arial" w:cs="Arial" w:eastAsia="Arial" w:hAnsi="Arial"/>
          <w:sz w:val="16"/>
          <w:szCs w:val="16"/>
          <w:color w:val="auto"/>
        </w:rPr>
      </w:pPr>
    </w:p>
    <w:p>
      <w:pPr>
        <w:ind w:left="2440" w:hanging="487"/>
        <w:spacing w:after="0"/>
        <w:tabs>
          <w:tab w:leader="none" w:pos="24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the Patent Assignment Agreement attached hereto as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1.1(a)(i)</w:t>
      </w:r>
      <w:r>
        <w:rPr>
          <w:rFonts w:ascii="Arial" w:cs="Arial" w:eastAsia="Arial" w:hAnsi="Arial"/>
          <w:sz w:val="18"/>
          <w:szCs w:val="18"/>
          <w:color w:val="auto"/>
        </w:rPr>
        <w:t xml:space="preserve"> executed by Lantiq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-10160</wp:posOffset>
            </wp:positionV>
            <wp:extent cx="285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4842510</wp:posOffset>
            </wp:positionH>
            <wp:positionV relativeFrom="paragraph">
              <wp:posOffset>-10160</wp:posOffset>
            </wp:positionV>
            <wp:extent cx="285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62" w:name="page63"/>
    <w:bookmarkEnd w:id="62"/>
    <w:p>
      <w:pPr>
        <w:ind w:left="2420" w:hanging="467"/>
        <w:spacing w:after="0"/>
        <w:tabs>
          <w:tab w:leader="none" w:pos="2420" w:val="left"/>
        </w:tabs>
        <w:numPr>
          <w:ilvl w:val="1"/>
          <w:numId w:val="40"/>
        </w:numPr>
        <w:rPr>
          <w:rFonts w:ascii="Arial" w:cs="Arial" w:eastAsia="Arial" w:hAnsi="Arial"/>
          <w:sz w:val="17"/>
          <w:szCs w:val="17"/>
          <w:color w:val="auto"/>
        </w:rPr>
      </w:pPr>
      <w:r>
        <w:rPr>
          <w:rFonts w:ascii="Arial" w:cs="Arial" w:eastAsia="Arial" w:hAnsi="Arial"/>
          <w:sz w:val="17"/>
          <w:szCs w:val="17"/>
          <w:color w:val="auto"/>
        </w:rPr>
        <w:t xml:space="preserve">the Amended and Restated DSL License Agreement attached hereto as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0000EE"/>
        </w:rPr>
        <w:t>1.5</w:t>
      </w:r>
      <w:r>
        <w:rPr>
          <w:rFonts w:ascii="Arial" w:cs="Arial" w:eastAsia="Arial" w:hAnsi="Arial"/>
          <w:sz w:val="17"/>
          <w:szCs w:val="17"/>
          <w:color w:val="auto"/>
        </w:rPr>
        <w:t xml:space="preserve"> executed by Lantiq Germany;</w:t>
      </w:r>
    </w:p>
    <w:p>
      <w:pPr>
        <w:spacing w:after="0" w:line="290" w:lineRule="exact"/>
        <w:rPr>
          <w:rFonts w:ascii="Arial" w:cs="Arial" w:eastAsia="Arial" w:hAnsi="Arial"/>
          <w:sz w:val="17"/>
          <w:szCs w:val="17"/>
          <w:color w:val="auto"/>
        </w:rPr>
      </w:pPr>
    </w:p>
    <w:p>
      <w:pPr>
        <w:ind w:left="2380" w:hanging="427"/>
        <w:spacing w:after="0"/>
        <w:tabs>
          <w:tab w:leader="none" w:pos="23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the Lease Agreement attached hereto as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1.8</w:t>
      </w:r>
      <w:r>
        <w:rPr>
          <w:rFonts w:ascii="Arial" w:cs="Arial" w:eastAsia="Arial" w:hAnsi="Arial"/>
          <w:sz w:val="18"/>
          <w:szCs w:val="18"/>
          <w:color w:val="auto"/>
        </w:rPr>
        <w:t xml:space="preserve"> executed by Lantiq US; and</w:t>
      </w:r>
    </w:p>
    <w:p>
      <w:pPr>
        <w:spacing w:after="0" w:line="279" w:lineRule="exact"/>
        <w:rPr>
          <w:rFonts w:ascii="Arial" w:cs="Arial" w:eastAsia="Arial" w:hAnsi="Arial"/>
          <w:sz w:val="18"/>
          <w:szCs w:val="18"/>
          <w:color w:val="auto"/>
        </w:rPr>
      </w:pPr>
    </w:p>
    <w:p>
      <w:pPr>
        <w:ind w:left="2420" w:hanging="467"/>
        <w:spacing w:after="0"/>
        <w:tabs>
          <w:tab w:leader="none" w:pos="2420" w:val="left"/>
        </w:tabs>
        <w:numPr>
          <w:ilvl w:val="1"/>
          <w:numId w:val="40"/>
        </w:numPr>
        <w:rPr>
          <w:rFonts w:ascii="Arial" w:cs="Arial" w:eastAsia="Arial" w:hAnsi="Arial"/>
          <w:sz w:val="17"/>
          <w:szCs w:val="17"/>
          <w:color w:val="auto"/>
        </w:rPr>
      </w:pPr>
      <w:r>
        <w:rPr>
          <w:rFonts w:ascii="Arial" w:cs="Arial" w:eastAsia="Arial" w:hAnsi="Arial"/>
          <w:sz w:val="17"/>
          <w:szCs w:val="17"/>
          <w:color w:val="auto"/>
        </w:rPr>
        <w:t>such other documents or instruments as Seller may reasonably request to effect the transactions contemplated hereby</w:t>
      </w:r>
    </w:p>
    <w:p>
      <w:pPr>
        <w:spacing w:after="0" w:line="290" w:lineRule="exact"/>
        <w:rPr>
          <w:rFonts w:ascii="Arial" w:cs="Arial" w:eastAsia="Arial" w:hAnsi="Arial"/>
          <w:sz w:val="17"/>
          <w:szCs w:val="17"/>
          <w:color w:val="auto"/>
        </w:rPr>
      </w:pPr>
    </w:p>
    <w:p>
      <w:pPr>
        <w:jc w:val="both"/>
        <w:ind w:right="20" w:firstLine="1305"/>
        <w:spacing w:after="0" w:line="264" w:lineRule="auto"/>
        <w:tabs>
          <w:tab w:leader="none" w:pos="1749"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proceedings to be taken by each Purchaser in connection with the consummation of the Closing and the other transactions contemplated hereby and all certificates, instruments and other documents required to be delivered by each Purchaser to effect the transactions contemplated hereby shall be reasonably satisfactory in form and substance to Seller.</w:t>
      </w:r>
    </w:p>
    <w:p>
      <w:pPr>
        <w:spacing w:after="0" w:line="20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Any condition specified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2.2</w:t>
      </w:r>
      <w:r>
        <w:rPr>
          <w:rFonts w:ascii="Arial" w:cs="Arial" w:eastAsia="Arial" w:hAnsi="Arial"/>
          <w:sz w:val="18"/>
          <w:szCs w:val="18"/>
          <w:color w:val="auto"/>
        </w:rPr>
        <w:t xml:space="preserve"> may be waived by Seller;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waiver shall be effective against Seller unless it is set forth in writing executed by Seller or unless Seller agrees in writing to consummate the transactions contemplated by this Agreement without the fulfillment of such condition.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3</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COVENANTS PRIOR TO CLOSING</w:t>
      </w:r>
    </w:p>
    <w:p>
      <w:pPr>
        <w:spacing w:after="0" w:line="27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Covenants of Seller</w:t>
      </w:r>
      <w:r>
        <w:rPr>
          <w:rFonts w:ascii="Arial" w:cs="Arial" w:eastAsia="Arial" w:hAnsi="Arial"/>
          <w:sz w:val="16"/>
          <w:szCs w:val="16"/>
          <w:color w:val="auto"/>
        </w:rPr>
        <w:t>. Prior to the Closing, unless Purchasers otherwise agree in writing, Seller shall:</w:t>
      </w:r>
    </w:p>
    <w:p>
      <w:pPr>
        <w:spacing w:after="0" w:line="279" w:lineRule="exact"/>
        <w:rPr>
          <w:sz w:val="20"/>
          <w:szCs w:val="20"/>
          <w:color w:val="auto"/>
        </w:rPr>
      </w:pPr>
    </w:p>
    <w:p>
      <w:pPr>
        <w:jc w:val="both"/>
        <w:ind w:right="20" w:firstLine="1305"/>
        <w:spacing w:after="0" w:line="264" w:lineRule="auto"/>
        <w:tabs>
          <w:tab w:leader="none" w:pos="1726"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carry on the Business in substantially the same manner as presently conducted and use commercially reasonable efforts to keep the organization and properties of the Business intact and in good operating condition and repair, including its present business operations, physical facilities, Seller Technology, Seller Proprietary Rights, working conditions and employees;</w:t>
      </w:r>
    </w:p>
    <w:p>
      <w:pPr>
        <w:spacing w:after="0" w:line="235" w:lineRule="exact"/>
        <w:rPr>
          <w:rFonts w:ascii="Arial" w:cs="Arial" w:eastAsia="Arial" w:hAnsi="Arial"/>
          <w:sz w:val="18"/>
          <w:szCs w:val="18"/>
          <w:color w:val="auto"/>
        </w:rPr>
      </w:pPr>
    </w:p>
    <w:p>
      <w:pPr>
        <w:ind w:left="1740" w:hanging="435"/>
        <w:spacing w:after="0"/>
        <w:tabs>
          <w:tab w:leader="none" w:pos="1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not transfer, license or encumber any of the Purchased Assets;</w:t>
      </w:r>
    </w:p>
    <w:p>
      <w:pPr>
        <w:spacing w:after="0" w:line="279" w:lineRule="exact"/>
        <w:rPr>
          <w:rFonts w:ascii="Arial" w:cs="Arial" w:eastAsia="Arial" w:hAnsi="Arial"/>
          <w:sz w:val="18"/>
          <w:szCs w:val="18"/>
          <w:color w:val="auto"/>
        </w:rPr>
      </w:pPr>
    </w:p>
    <w:p>
      <w:pPr>
        <w:ind w:firstLine="1305"/>
        <w:spacing w:after="0" w:line="277" w:lineRule="auto"/>
        <w:tabs>
          <w:tab w:leader="none" w:pos="1726" w:val="left"/>
        </w:tabs>
        <w:numPr>
          <w:ilvl w:val="0"/>
          <w:numId w:val="42"/>
        </w:numPr>
        <w:rPr>
          <w:rFonts w:ascii="Arial" w:cs="Arial" w:eastAsia="Arial" w:hAnsi="Arial"/>
          <w:sz w:val="18"/>
          <w:szCs w:val="18"/>
          <w:color w:val="auto"/>
        </w:rPr>
      </w:pPr>
      <w:r>
        <w:rPr>
          <w:rFonts w:ascii="Arial" w:cs="Arial" w:eastAsia="Arial" w:hAnsi="Arial"/>
          <w:sz w:val="18"/>
          <w:szCs w:val="18"/>
          <w:color w:val="auto"/>
        </w:rPr>
        <w:t>use commercially reasonable efforts to keep available the services of the Specified Employees and to preserve the present business relationships with all customers, suppliers and others having business dealings with Seller;</w:t>
      </w:r>
    </w:p>
    <w:p>
      <w:pPr>
        <w:spacing w:after="0" w:line="224" w:lineRule="exact"/>
        <w:rPr>
          <w:rFonts w:ascii="Arial" w:cs="Arial" w:eastAsia="Arial" w:hAnsi="Arial"/>
          <w:sz w:val="18"/>
          <w:szCs w:val="18"/>
          <w:color w:val="auto"/>
        </w:rPr>
      </w:pPr>
    </w:p>
    <w:p>
      <w:pPr>
        <w:jc w:val="both"/>
        <w:ind w:firstLine="1305"/>
        <w:spacing w:after="0" w:line="264" w:lineRule="auto"/>
        <w:tabs>
          <w:tab w:leader="none" w:pos="1749"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not increase or otherwise change the rate or nature of the compensation (including wages, salaries, bonuses and benefits under pension, profit sharing, deferred compensation and similar plans or programs) which is paid or payable to any Specified Employee, except in the ordinary course of business consistent with past practice or as specified in </w:t>
      </w:r>
      <w:r>
        <w:rPr>
          <w:rFonts w:ascii="Arial" w:cs="Arial" w:eastAsia="Arial" w:hAnsi="Arial"/>
          <w:sz w:val="18"/>
          <w:szCs w:val="18"/>
          <w:u w:val="single" w:color="auto"/>
          <w:color w:val="auto"/>
        </w:rPr>
        <w:t>Schedule 4.20(i)</w:t>
      </w:r>
      <w:r>
        <w:rPr>
          <w:rFonts w:ascii="Arial" w:cs="Arial" w:eastAsia="Arial" w:hAnsi="Arial"/>
          <w:sz w:val="18"/>
          <w:szCs w:val="18"/>
          <w:color w:val="auto"/>
        </w:rPr>
        <w:t>;</w:t>
      </w:r>
    </w:p>
    <w:p>
      <w:pPr>
        <w:spacing w:after="0" w:line="235" w:lineRule="exact"/>
        <w:rPr>
          <w:rFonts w:ascii="Arial" w:cs="Arial" w:eastAsia="Arial" w:hAnsi="Arial"/>
          <w:sz w:val="18"/>
          <w:szCs w:val="18"/>
          <w:color w:val="auto"/>
        </w:rPr>
      </w:pPr>
    </w:p>
    <w:p>
      <w:pPr>
        <w:ind w:left="1720" w:hanging="415"/>
        <w:spacing w:after="0"/>
        <w:tabs>
          <w:tab w:leader="none" w:pos="17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not change, amend, terminate or otherwise modify any material Contract in any respect that would result in a material adverse change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 the Business;</w:t>
      </w:r>
    </w:p>
    <w:p>
      <w:pPr>
        <w:spacing w:after="0" w:line="264" w:lineRule="exact"/>
        <w:rPr>
          <w:rFonts w:ascii="Arial" w:cs="Arial" w:eastAsia="Arial" w:hAnsi="Arial"/>
          <w:sz w:val="16"/>
          <w:szCs w:val="16"/>
          <w:color w:val="auto"/>
        </w:rPr>
      </w:pPr>
    </w:p>
    <w:p>
      <w:pPr>
        <w:ind w:right="20" w:firstLine="1305"/>
        <w:spacing w:after="0" w:line="277" w:lineRule="auto"/>
        <w:tabs>
          <w:tab w:leader="none" w:pos="1706"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promptly (once Seller obtains knowledge thereof) inform Purchasers in writing of any breach of the representations and warranties contained in Article 4 hereof or any breach of any covenant hereunder by Seller;</w:t>
      </w:r>
    </w:p>
    <w:p>
      <w:pPr>
        <w:spacing w:after="0" w:line="224" w:lineRule="exact"/>
        <w:rPr>
          <w:rFonts w:ascii="Arial" w:cs="Arial" w:eastAsia="Arial" w:hAnsi="Arial"/>
          <w:sz w:val="18"/>
          <w:szCs w:val="18"/>
          <w:color w:val="auto"/>
        </w:rPr>
      </w:pPr>
    </w:p>
    <w:p>
      <w:pPr>
        <w:ind w:right="20" w:firstLine="1305"/>
        <w:spacing w:after="0" w:line="277" w:lineRule="auto"/>
        <w:tabs>
          <w:tab w:leader="none" w:pos="1749"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comply with all material legal requirements and contractual liabilities applicable to the operations of the Business and pay all applicable Taxes when due and payable;</w:t>
      </w:r>
    </w:p>
    <w:p>
      <w:pPr>
        <w:spacing w:after="0" w:line="224" w:lineRule="exact"/>
        <w:rPr>
          <w:rFonts w:ascii="Arial" w:cs="Arial" w:eastAsia="Arial" w:hAnsi="Arial"/>
          <w:sz w:val="18"/>
          <w:szCs w:val="18"/>
          <w:color w:val="auto"/>
        </w:rPr>
      </w:pPr>
    </w:p>
    <w:p>
      <w:pPr>
        <w:ind w:firstLine="1305"/>
        <w:spacing w:after="0" w:line="342" w:lineRule="auto"/>
        <w:tabs>
          <w:tab w:leader="none" w:pos="1722" w:val="left"/>
        </w:tabs>
        <w:numPr>
          <w:ilvl w:val="0"/>
          <w:numId w:val="42"/>
        </w:numPr>
        <w:rPr>
          <w:rFonts w:ascii="Arial" w:cs="Arial" w:eastAsia="Arial" w:hAnsi="Arial"/>
          <w:sz w:val="16"/>
          <w:szCs w:val="16"/>
          <w:color w:val="auto"/>
        </w:rPr>
      </w:pPr>
      <w:r>
        <w:rPr>
          <w:rFonts w:ascii="Arial" w:cs="Arial" w:eastAsia="Arial" w:hAnsi="Arial"/>
          <w:sz w:val="16"/>
          <w:szCs w:val="16"/>
          <w:color w:val="auto"/>
        </w:rPr>
        <w:t>not make or change any election, change an annual accounting period, adopt or change any accounting method, file any amended Tax return, enter into any closing agreement, settlement or other agreement or arrangement with respect to Tax claims, returns, refunds or limitation periods;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63" w:name="page64"/>
    <w:bookmarkEnd w:id="63"/>
    <w:p>
      <w:pPr>
        <w:jc w:val="both"/>
        <w:ind w:right="20" w:firstLine="1305"/>
        <w:spacing w:after="0" w:line="264" w:lineRule="auto"/>
        <w:tabs>
          <w:tab w:leader="none" w:pos="171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cooperate with Purchasers and use commercially reasonable efforts and take such actions to cause the conditions to Purchasers’ obligation to close to be satisfied (including, without limitation, the execution and delivery of all agreements contemplated hereunder to be so executed and delivered);</w:t>
      </w:r>
    </w:p>
    <w:p>
      <w:pPr>
        <w:spacing w:after="0" w:line="235" w:lineRule="exact"/>
        <w:rPr>
          <w:rFonts w:ascii="Arial" w:cs="Arial" w:eastAsia="Arial" w:hAnsi="Arial"/>
          <w:sz w:val="18"/>
          <w:szCs w:val="18"/>
          <w:color w:val="auto"/>
        </w:rPr>
      </w:pPr>
    </w:p>
    <w:p>
      <w:pPr>
        <w:ind w:firstLine="1305"/>
        <w:spacing w:after="0" w:line="277" w:lineRule="auto"/>
        <w:tabs>
          <w:tab w:leader="none" w:pos="1682"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confer on a regular and reasonable basis with representatives of each Purchaser to report on operational matters and the general status of ongoing operations of the Business;</w:t>
      </w:r>
    </w:p>
    <w:p>
      <w:pPr>
        <w:spacing w:after="0" w:line="224" w:lineRule="exact"/>
        <w:rPr>
          <w:rFonts w:ascii="Arial" w:cs="Arial" w:eastAsia="Arial" w:hAnsi="Arial"/>
          <w:sz w:val="18"/>
          <w:szCs w:val="18"/>
          <w:color w:val="auto"/>
        </w:rPr>
      </w:pPr>
    </w:p>
    <w:p>
      <w:pPr>
        <w:jc w:val="both"/>
        <w:ind w:firstLine="1305"/>
        <w:spacing w:after="0" w:line="257" w:lineRule="auto"/>
        <w:tabs>
          <w:tab w:leader="none" w:pos="1722"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and cause its Affiliates and their respective officers, directors, employees, attorneys, accountants and other agents to provide, Purchasers and their accounting, legal, funding sources and other representatives full and complete access at all reasonable times to Seller’s officers, personnel, suppliers and distributors, consultants, attorneys, accountants and facilities and to business, financial, legal, accounting, regulatory, tax, compensation and other data and information concerning the Purchased Assets and Assumed Liabilities, subject to any confidentiality obligations Seller (and its Affiliates) may owe to third parties; and</w:t>
      </w:r>
    </w:p>
    <w:p>
      <w:pPr>
        <w:spacing w:after="0" w:line="242" w:lineRule="exact"/>
        <w:rPr>
          <w:rFonts w:ascii="Arial" w:cs="Arial" w:eastAsia="Arial" w:hAnsi="Arial"/>
          <w:sz w:val="18"/>
          <w:szCs w:val="18"/>
          <w:color w:val="auto"/>
        </w:rPr>
      </w:pPr>
    </w:p>
    <w:p>
      <w:pPr>
        <w:ind w:left="1700" w:hanging="395"/>
        <w:spacing w:after="0"/>
        <w:tabs>
          <w:tab w:leader="none" w:pos="1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not agree to undertake any of the foregoing.</w:t>
      </w:r>
    </w:p>
    <w:p>
      <w:pPr>
        <w:spacing w:after="0" w:line="27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Covenants of Purchasers</w:t>
      </w:r>
      <w:r>
        <w:rPr>
          <w:rFonts w:ascii="Arial" w:cs="Arial" w:eastAsia="Arial" w:hAnsi="Arial"/>
          <w:sz w:val="16"/>
          <w:szCs w:val="16"/>
          <w:color w:val="auto"/>
        </w:rPr>
        <w:t>. Prior to the Closing, each Purchaser shall:</w:t>
      </w:r>
    </w:p>
    <w:p>
      <w:pPr>
        <w:spacing w:after="0" w:line="279" w:lineRule="exact"/>
        <w:rPr>
          <w:sz w:val="20"/>
          <w:szCs w:val="20"/>
          <w:color w:val="auto"/>
        </w:rPr>
      </w:pPr>
    </w:p>
    <w:p>
      <w:pPr>
        <w:ind w:firstLine="1305"/>
        <w:spacing w:after="0" w:line="277" w:lineRule="auto"/>
        <w:tabs>
          <w:tab w:leader="none" w:pos="1712"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promptly (once it obtains knowledge thereof) inform Seller in writing of any breaches of the representations and warranties contained in Article 5 or any breach of any covenant hereunder by Purchasers;</w:t>
      </w:r>
    </w:p>
    <w:p>
      <w:pPr>
        <w:spacing w:after="0" w:line="224" w:lineRule="exact"/>
        <w:rPr>
          <w:rFonts w:ascii="Arial" w:cs="Arial" w:eastAsia="Arial" w:hAnsi="Arial"/>
          <w:sz w:val="18"/>
          <w:szCs w:val="18"/>
          <w:color w:val="auto"/>
        </w:rPr>
      </w:pPr>
    </w:p>
    <w:p>
      <w:pPr>
        <w:ind w:firstLine="1305"/>
        <w:spacing w:after="0" w:line="308" w:lineRule="auto"/>
        <w:tabs>
          <w:tab w:leader="none" w:pos="1722"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cooperate with Seller and use its commercially reasonable efforts to cause the conditions to Seller’s obligation to close to be satisfied (including, without limitation, the execution and delivery of all agreements contemplated hereunder to be so executed and delivered); and</w:t>
      </w:r>
    </w:p>
    <w:p>
      <w:pPr>
        <w:spacing w:after="0" w:line="200" w:lineRule="exact"/>
        <w:rPr>
          <w:rFonts w:ascii="Arial" w:cs="Arial" w:eastAsia="Arial" w:hAnsi="Arial"/>
          <w:sz w:val="17"/>
          <w:szCs w:val="17"/>
          <w:color w:val="auto"/>
        </w:rPr>
      </w:pPr>
    </w:p>
    <w:p>
      <w:pPr>
        <w:ind w:left="1720" w:hanging="415"/>
        <w:spacing w:after="0"/>
        <w:tabs>
          <w:tab w:leader="none" w:pos="17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confer on a regular and reasonable basis with representatives of Seller to report on the general status of the transactions contemplated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 Section 2.1(f).</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SELLER’S REPRESENTATIONS AND WARRANTIES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u w:val="single" w:color="auto"/>
          <w:color w:val="auto"/>
        </w:rPr>
        <w:t>Seller’s Representations and Warranties</w:t>
      </w:r>
      <w:r>
        <w:rPr>
          <w:rFonts w:ascii="Arial" w:cs="Arial" w:eastAsia="Arial" w:hAnsi="Arial"/>
          <w:sz w:val="17"/>
          <w:szCs w:val="17"/>
          <w:color w:val="auto"/>
        </w:rPr>
        <w:t>. Seller represents and warrants to Purchasers that as of the date of hereof and as of the Closing:</w:t>
      </w:r>
    </w:p>
    <w:p>
      <w:pPr>
        <w:spacing w:after="0" w:line="29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Formation; Good Standing</w:t>
      </w:r>
      <w:r>
        <w:rPr>
          <w:rFonts w:ascii="Arial" w:cs="Arial" w:eastAsia="Arial" w:hAnsi="Arial"/>
          <w:sz w:val="18"/>
          <w:szCs w:val="18"/>
          <w:color w:val="auto"/>
        </w:rPr>
        <w:t>. Seller is a corporation duly formed, validly existing, and in good standing under the laws of Massachusetts and is qualified to do business in the jurisdiction of organization.</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Subsidiaries</w:t>
      </w:r>
      <w:r>
        <w:rPr>
          <w:rFonts w:ascii="Arial" w:cs="Arial" w:eastAsia="Arial" w:hAnsi="Arial"/>
          <w:sz w:val="18"/>
          <w:szCs w:val="18"/>
          <w:color w:val="auto"/>
        </w:rPr>
        <w:t>. Seller has one subsidiary, Aware Security Corporation, which does not own or use, and has not owned or used, any assets or properties related in any way to the Purchased Assets or the Non-Purchased Patents, Overlapping Technology or any of the technology related thereto or any other rights in the Business.</w:t>
      </w:r>
    </w:p>
    <w:p>
      <w:pPr>
        <w:spacing w:after="0" w:line="23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Authorization</w:t>
      </w:r>
      <w:r>
        <w:rPr>
          <w:rFonts w:ascii="Arial" w:cs="Arial" w:eastAsia="Arial" w:hAnsi="Arial"/>
          <w:sz w:val="16"/>
          <w:szCs w:val="16"/>
          <w:color w:val="auto"/>
        </w:rPr>
        <w:t>. Seller has the full legal right, power and authority to enter into and perform the transactions contemplated by this Agreement and the agreements and other documents contemplated hereby, without need for any approval, license, or notice to any court, Governmental Entity or other Person or entity. The execution, delivery and performance of this Agreement and the documents contemplated hereby by Seller and the consummation by Seller of the transactions contemplated hereby and thereby have been duly authorized by all necessary corporate action of Seller, and no vote of the shareholders of Seller is necessary to approve this Agreement or the transactions contemplated by this Agreement. This Agreement and the agreements and other documents contemplated hereby evidence the legal, valid and binding obligations of Seller, enforceable against Seller in accordance with their terms.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64" w:name="page65"/>
    <w:bookmarkEnd w:id="64"/>
    <w:p>
      <w:pPr>
        <w:jc w:val="both"/>
        <w:ind w:firstLine="648"/>
        <w:spacing w:after="0" w:line="255"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No Default or Violation</w:t>
      </w:r>
      <w:r>
        <w:rPr>
          <w:rFonts w:ascii="Arial" w:cs="Arial" w:eastAsia="Arial" w:hAnsi="Arial"/>
          <w:sz w:val="18"/>
          <w:szCs w:val="18"/>
          <w:color w:val="auto"/>
        </w:rPr>
        <w:t>. The execution, delivery and performance of this Agreement by Seller and the consummation by Seller of the transactions contemplated hereby do not and will not: conflict with Seller’s Articles of Organization or By-laws; violate any law, regulation, order, judgment or decree; or result in a default or acceleration of any material obligation under, or give rise to any material obligation under, any agreement or instrument. No waiver, consent, approval or authorization of any person is required to be made or obtained by Seller in connection with the execution, delivery and performance of this Agreement, the consummation of the transactions contemplated hereby and the assignment by Seller to Purchasers of the Purchased Assets.</w:t>
      </w:r>
    </w:p>
    <w:p>
      <w:pPr>
        <w:spacing w:after="0" w:line="2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Title to Properties; Absence of Liens and Encumbrances</w:t>
      </w:r>
      <w:r>
        <w:rPr>
          <w:rFonts w:ascii="Arial" w:cs="Arial" w:eastAsia="Arial" w:hAnsi="Arial"/>
          <w:sz w:val="18"/>
          <w:szCs w:val="18"/>
          <w:color w:val="auto"/>
        </w:rPr>
        <w:t>. Seller has the full right to sell, transfer, and assign all of the Purchased Assets to Purchasers, and has good title thereto (and will, at the Closing, sell, transfer and assign to Purchasers good title to all of such Purchased Assets) and to all such assets and properties and rights contemplated to be licensed to (or the subject of any license to) Purchasers in connection with the transactions contemplated by this Agreement, in each case free and clear of all Liens, except the Outbound IP Licenses. All of the Purchased Assets and all of the assets, properties and rights contemplated to be licensed to (or the subject of any license to) Purchasers in connection with the transactions contemplated by this Agreement constitute in all material respects all of the assets, properties and rights of Seller or any of its Affiliates used or held for use with respect to the Business.</w:t>
      </w:r>
    </w:p>
    <w:p>
      <w:pPr>
        <w:spacing w:after="0" w:line="2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Litigation</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4.6</w:t>
      </w:r>
      <w:r>
        <w:rPr>
          <w:rFonts w:ascii="Arial" w:cs="Arial" w:eastAsia="Arial" w:hAnsi="Arial"/>
          <w:sz w:val="18"/>
          <w:szCs w:val="18"/>
          <w:color w:val="auto"/>
        </w:rPr>
        <w:t>, there are no actions, suits, proceedings or investigations relating to the Purchased Assets, the Business or any of the assets, properties and rights contemplated to be licensed to (or the subject of any license to) Purchasers in connection with the transactions contemplated by this Agreement pending or, to knowledge of Seller, threatened against Seller, Seller’s Affiliates or Seller’s customers or licensees or any of their properties, at law or in equity, before any court or governmental agency, and Seller does not know of any circumstances that would give rise to any such action, suit, proceeding or investigation. Neither Seller nor any of its properties is subject to any order, writ, injunction, decree or judgment of any court or governmental agency relating to the Purchased Assets.</w:t>
      </w:r>
    </w:p>
    <w:p>
      <w:pPr>
        <w:spacing w:after="0" w:line="2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Product Warranty</w:t>
      </w:r>
      <w:r>
        <w:rPr>
          <w:rFonts w:ascii="Arial" w:cs="Arial" w:eastAsia="Arial" w:hAnsi="Arial"/>
          <w:sz w:val="17"/>
          <w:szCs w:val="17"/>
          <w:color w:val="auto"/>
        </w:rPr>
        <w:t>. There have been no material warranty or product liability claims asserted by any customer or other person against Seller with respect to the Seller Technology, any of the other Purchased Assets or any of the assets, properties and rights contemplated to be licensed to Purchasers under the DSL License Agreement. Each product sold, leased, licensed or delivered by Seller included in the Purchased Assets has been in material conformity with all applicable material contractual commitments and express and implied warranties.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Taxes</w:t>
      </w:r>
      <w:r>
        <w:rPr>
          <w:rFonts w:ascii="Arial" w:cs="Arial" w:eastAsia="Arial" w:hAnsi="Arial"/>
          <w:sz w:val="18"/>
          <w:szCs w:val="18"/>
          <w:color w:val="auto"/>
        </w:rPr>
        <w:t>. Seller (a) has duly and timely filed all federal, state and other Tax returns and reports required to be filed by the laws of any jurisdiction to which it or any of the Purchased Assets is or has been subject, (b) has paid in full to the proper governmental agencies all federal, state and other Taxes (including, without limitation, all sales, use, withholding and payroll taxes), interest, assessments, fees, and other governmental charges due or claimed to be due on account of its assets, properties, income or operations, and (c) has withheld, collected and paid to the proper governmental agencies all amounts that it has been required by law to withhold or collect.</w:t>
      </w:r>
    </w:p>
    <w:p>
      <w:pPr>
        <w:spacing w:after="0" w:line="24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Legal Compliance</w:t>
      </w:r>
      <w:r>
        <w:rPr>
          <w:rFonts w:ascii="Arial" w:cs="Arial" w:eastAsia="Arial" w:hAnsi="Arial"/>
          <w:sz w:val="18"/>
          <w:szCs w:val="18"/>
          <w:color w:val="auto"/>
        </w:rPr>
        <w:t>. Seller has obtained all material governmental or other consents, licenses, permits or approvals (federal, state, foreign or local) required for the lawful conduct of Seller’s business and the ownership of Seller’s assets and properties, including the Purchased Assets, and all such consents, licenses, permits and approvals are in full force and effect in all material respects, and Seller has conducted its business and the ownership of its assets and properties in compliance with all applicable law in all material respects.</w:t>
      </w:r>
    </w:p>
    <w:p>
      <w:pPr>
        <w:spacing w:after="0" w:line="24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u w:val="single" w:color="auto"/>
          <w:color w:val="auto"/>
        </w:rPr>
        <w:t>Customers</w:t>
      </w:r>
      <w:r>
        <w:rPr>
          <w:rFonts w:ascii="Arial" w:cs="Arial" w:eastAsia="Arial" w:hAnsi="Arial"/>
          <w:sz w:val="16"/>
          <w:szCs w:val="16"/>
          <w:color w:val="auto"/>
        </w:rPr>
        <w:t>.</w:t>
      </w:r>
      <w:r>
        <w:rPr>
          <w:rFonts w:ascii="Arial" w:cs="Arial" w:eastAsia="Arial" w:hAnsi="Arial"/>
          <w:sz w:val="16"/>
          <w:szCs w:val="16"/>
          <w:u w:val="single" w:color="auto"/>
          <w:color w:val="auto"/>
        </w:rPr>
        <w:t xml:space="preserve"> Schedule </w:t>
      </w:r>
      <w:r>
        <w:rPr>
          <w:rFonts w:ascii="Arial" w:cs="Arial" w:eastAsia="Arial" w:hAnsi="Arial"/>
          <w:sz w:val="16"/>
          <w:szCs w:val="16"/>
          <w:u w:val="single" w:color="auto"/>
          <w:color w:val="0000EE"/>
        </w:rPr>
        <w:t>4.10</w:t>
      </w:r>
      <w:r>
        <w:rPr>
          <w:rFonts w:ascii="Arial" w:cs="Arial" w:eastAsia="Arial" w:hAnsi="Arial"/>
          <w:sz w:val="16"/>
          <w:szCs w:val="16"/>
          <w:u w:val="single" w:color="auto"/>
          <w:color w:val="auto"/>
        </w:rPr>
        <w:t xml:space="preserve"> </w:t>
      </w:r>
      <w:r>
        <w:rPr>
          <w:rFonts w:ascii="Arial" w:cs="Arial" w:eastAsia="Arial" w:hAnsi="Arial"/>
          <w:sz w:val="16"/>
          <w:szCs w:val="16"/>
          <w:color w:val="auto"/>
        </w:rPr>
        <w:t>contains a true and complete list of all current customers, users and licensees of the Seller Technology.</w:t>
      </w:r>
    </w:p>
    <w:p>
      <w:pPr>
        <w:spacing w:after="0" w:line="2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Condition</w:t>
      </w:r>
      <w:r>
        <w:rPr>
          <w:rFonts w:ascii="Arial" w:cs="Arial" w:eastAsia="Arial" w:hAnsi="Arial"/>
          <w:sz w:val="18"/>
          <w:szCs w:val="18"/>
          <w:color w:val="auto"/>
        </w:rPr>
        <w:t>. All material machinery, equipment and other tangible assets included in the Purchased Assets are in good operating condition and repair, ordinary wear and tear excepted.</w:t>
      </w:r>
    </w:p>
    <w:p>
      <w:pPr>
        <w:spacing w:after="0" w:line="22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u w:val="single" w:color="auto"/>
          <w:color w:val="auto"/>
        </w:rPr>
        <w:t>Suppliers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0000EE"/>
        </w:rPr>
        <w:t>4.12</w:t>
      </w:r>
      <w:r>
        <w:rPr>
          <w:rFonts w:ascii="Arial" w:cs="Arial" w:eastAsia="Arial" w:hAnsi="Arial"/>
          <w:sz w:val="16"/>
          <w:szCs w:val="16"/>
          <w:color w:val="auto"/>
        </w:rPr>
        <w:t xml:space="preserve"> contains a true and complete list of all vendors from or through whom Seller has purchased material goods (for sale or lease) or services related to the Purchased Assets and summarizes all contractual arrangements for continued supply from each such firm. Seller has no currently existing material open purchase orders or contracts with vendors or other suppliers of materials or services related to the Purchased Assets.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65" w:name="page66"/>
    <w:bookmarkEnd w:id="65"/>
    <w:p>
      <w:pPr>
        <w:ind w:left="660"/>
        <w:spacing w:after="0"/>
        <w:tabs>
          <w:tab w:leader="none" w:pos="116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u w:val="single" w:color="auto"/>
          <w:color w:val="auto"/>
        </w:rPr>
        <w:t>Patents, Trademarks and Other Intangible Personal Property</w:t>
      </w:r>
      <w:r>
        <w:rPr>
          <w:rFonts w:ascii="Arial" w:cs="Arial" w:eastAsia="Arial" w:hAnsi="Arial"/>
          <w:sz w:val="16"/>
          <w:szCs w:val="16"/>
          <w:color w:val="auto"/>
        </w:rPr>
        <w:t>.</w:t>
      </w:r>
    </w:p>
    <w:p>
      <w:pPr>
        <w:spacing w:after="0" w:line="279" w:lineRule="exact"/>
        <w:rPr>
          <w:sz w:val="20"/>
          <w:szCs w:val="20"/>
          <w:color w:val="auto"/>
        </w:rPr>
      </w:pPr>
    </w:p>
    <w:p>
      <w:pPr>
        <w:jc w:val="both"/>
        <w:ind w:firstLine="1305"/>
        <w:spacing w:after="0" w:line="286" w:lineRule="auto"/>
        <w:tabs>
          <w:tab w:leader="none" w:pos="1712" w:val="left"/>
        </w:tabs>
        <w:numPr>
          <w:ilvl w:val="0"/>
          <w:numId w:val="45"/>
        </w:numPr>
        <w:rPr>
          <w:rFonts w:ascii="Arial" w:cs="Arial" w:eastAsia="Arial" w:hAnsi="Arial"/>
          <w:sz w:val="16"/>
          <w:szCs w:val="16"/>
          <w:color w:val="auto"/>
        </w:rPr>
      </w:pPr>
      <w:r>
        <w:rPr>
          <w:rFonts w:ascii="Arial" w:cs="Arial" w:eastAsia="Arial" w:hAnsi="Arial"/>
          <w:sz w:val="16"/>
          <w:szCs w:val="16"/>
          <w:color w:val="auto"/>
        </w:rPr>
        <w:t>Seller owns, or otherwise possesses, legally enforceable rights to use all Purchased Patents, copyrights, and any applications therefor, domain names, maskworks, net lists, schematics, technology, know-how, trade secrets, algorithms, computer software programs or applications (in both source code and object code form), and all trademarks, trade names and service marks and all other Intellectual Property Rights included in the Purchased Assets (the “</w:t>
      </w:r>
      <w:r>
        <w:rPr>
          <w:rFonts w:ascii="Arial" w:cs="Arial" w:eastAsia="Arial" w:hAnsi="Arial"/>
          <w:sz w:val="16"/>
          <w:szCs w:val="16"/>
          <w:u w:val="single" w:color="auto"/>
          <w:color w:val="auto"/>
        </w:rPr>
        <w:t>Seller Proprietary Rights</w:t>
      </w:r>
      <w:r>
        <w:rPr>
          <w:rFonts w:ascii="Arial" w:cs="Arial" w:eastAsia="Arial" w:hAnsi="Arial"/>
          <w:sz w:val="16"/>
          <w:szCs w:val="16"/>
          <w:color w:val="auto"/>
        </w:rPr>
        <w:t xml:space="preserve">”), including those set forth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0000EE"/>
        </w:rPr>
        <w:t>4.13(b)</w:t>
      </w:r>
      <w:r>
        <w:rPr>
          <w:rFonts w:ascii="Arial" w:cs="Arial" w:eastAsia="Arial" w:hAnsi="Arial"/>
          <w:sz w:val="16"/>
          <w:szCs w:val="16"/>
          <w:color w:val="auto"/>
        </w:rPr>
        <w:t xml:space="preserve"> free and clear of any and all liens, charges, security interests and other encumbrances whatsoever. With the exception of any Contract listed on the Schedules hereto, Seller is not a party to any Contract related to any Purchased Asset, including any such agreement whereby any such Purchased Asset is licensed to any third party on an exclusive basis or whereby the manufacture, sale, distribution or other use of any Purchased Asset, or the enforcement of any right relating to any Purchased Asset is restricted. Except as set forth in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0000EE"/>
        </w:rPr>
        <w:t>4.13</w:t>
      </w:r>
      <w:r>
        <w:rPr>
          <w:rFonts w:ascii="Arial" w:cs="Arial" w:eastAsia="Arial" w:hAnsi="Arial"/>
          <w:sz w:val="16"/>
          <w:szCs w:val="16"/>
          <w:color w:val="auto"/>
        </w:rPr>
        <w:t xml:space="preserve"> and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0000EE"/>
        </w:rPr>
        <w:t>4.13(b)</w:t>
      </w:r>
      <w:r>
        <w:rPr>
          <w:rFonts w:ascii="Arial" w:cs="Arial" w:eastAsia="Arial" w:hAnsi="Arial"/>
          <w:sz w:val="16"/>
          <w:szCs w:val="16"/>
          <w:color w:val="auto"/>
        </w:rPr>
        <w:t xml:space="preserve"> hereto, all of Seller’s rights in and to Seller Proprietary Rights, including (if applicable) the right to create derivatives, are freely assignable in its own name and Seller is under no obligation to obtain any approval or consent for use of any of Seller Proprietary Rights. The Seller Proprietary Rights, together with all Intellectual Property Rights licensed pursuant to the DSL License Agreement, represent all of Seller’s Intellectual Property Rights related to the operation of the Business and the consummation of the transactions contemplated by this Agreement will not alter, impair or extinguish any Seller Proprietary Rights and any rights therein or thereto. To Seller’s knowledge, Seller has, where applicable, complied with its obligations with regard to the Purchased Patents to any technical standards organizations in all material respects.</w:t>
      </w:r>
    </w:p>
    <w:p>
      <w:pPr>
        <w:spacing w:after="0" w:line="228" w:lineRule="exact"/>
        <w:rPr>
          <w:rFonts w:ascii="Arial" w:cs="Arial" w:eastAsia="Arial" w:hAnsi="Arial"/>
          <w:sz w:val="16"/>
          <w:szCs w:val="16"/>
          <w:color w:val="auto"/>
        </w:rPr>
      </w:pPr>
    </w:p>
    <w:p>
      <w:pPr>
        <w:jc w:val="both"/>
        <w:ind w:firstLine="1305"/>
        <w:spacing w:after="0" w:line="259" w:lineRule="auto"/>
        <w:tabs>
          <w:tab w:leader="none" w:pos="1722"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4.13(b)</w:t>
      </w:r>
      <w:r>
        <w:rPr>
          <w:rFonts w:ascii="Arial" w:cs="Arial" w:eastAsia="Arial" w:hAnsi="Arial"/>
          <w:sz w:val="18"/>
          <w:szCs w:val="18"/>
          <w:color w:val="auto"/>
        </w:rPr>
        <w:t xml:space="preserve"> is a complete list of all registrations (and applications for registration) for Intellectual Property Rights (including domain names and computer software programs or applications) included in the Seller Proprietary Rights, specifying, where applicable, the jurisdictions in which each such Seller Proprietary Right has been issued or registered or in which an application for such issuance and registration has been filed, including the respective registration or application numbers and the names of all registered owners.</w:t>
      </w:r>
    </w:p>
    <w:p>
      <w:pPr>
        <w:spacing w:after="0" w:line="240" w:lineRule="exact"/>
        <w:rPr>
          <w:rFonts w:ascii="Arial" w:cs="Arial" w:eastAsia="Arial" w:hAnsi="Arial"/>
          <w:sz w:val="18"/>
          <w:szCs w:val="18"/>
          <w:color w:val="auto"/>
        </w:rPr>
      </w:pPr>
    </w:p>
    <w:p>
      <w:pPr>
        <w:ind w:right="20" w:firstLine="1305"/>
        <w:spacing w:after="0" w:line="277" w:lineRule="auto"/>
        <w:tabs>
          <w:tab w:leader="none" w:pos="1712"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Seller is not obligated to pay any royalties or other compensation to any third party in respect of its ownership, use or license of any of the Seller Proprietary Rights, except to the parties listed in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4.13(c)</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jc w:val="both"/>
        <w:ind w:firstLine="1305"/>
        <w:spacing w:after="0" w:line="276" w:lineRule="auto"/>
        <w:tabs>
          <w:tab w:leader="none" w:pos="1722"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Set forth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0000EE"/>
        </w:rPr>
        <w:t>4.13(d)</w:t>
      </w:r>
      <w:r>
        <w:rPr>
          <w:rFonts w:ascii="Arial" w:cs="Arial" w:eastAsia="Arial" w:hAnsi="Arial"/>
          <w:sz w:val="17"/>
          <w:szCs w:val="17"/>
          <w:color w:val="auto"/>
        </w:rPr>
        <w:t xml:space="preserve"> is a complete list of all Contracts as to which Seller is a party and pursuant to which Seller or any other person is authorized to use any Seller Proprietary Right. Seller is not in breach, default or other violation of any Contract described on such list. The Contracts are in full force and effect and are binding and enforceable against each of the parties thereto in accordance with their respective terms. The execution and delivery of this Agreement by Seller, and the consummation of the transactions contemplated hereby, will not cause Seller to be in violation or default under any Contract, nor entitle any other party to any Contract to terminate or modify such Contract.</w:t>
      </w:r>
    </w:p>
    <w:p>
      <w:pPr>
        <w:spacing w:after="0" w:line="226" w:lineRule="exact"/>
        <w:rPr>
          <w:rFonts w:ascii="Arial" w:cs="Arial" w:eastAsia="Arial" w:hAnsi="Arial"/>
          <w:sz w:val="17"/>
          <w:szCs w:val="17"/>
          <w:color w:val="auto"/>
        </w:rPr>
      </w:pPr>
    </w:p>
    <w:p>
      <w:pPr>
        <w:jc w:val="both"/>
        <w:ind w:firstLine="1305"/>
        <w:spacing w:after="0" w:line="272" w:lineRule="auto"/>
        <w:tabs>
          <w:tab w:leader="none" w:pos="1712"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All of the registrations (and applications for registration) for Seller Proprietary Rights set forth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0000EE"/>
        </w:rPr>
        <w:t>4.13(b)</w:t>
      </w:r>
      <w:r>
        <w:rPr>
          <w:rFonts w:ascii="Arial" w:cs="Arial" w:eastAsia="Arial" w:hAnsi="Arial"/>
          <w:sz w:val="17"/>
          <w:szCs w:val="17"/>
          <w:color w:val="auto"/>
        </w:rPr>
        <w:t xml:space="preserve"> as issued by, or filed with the United States Patent and Trademark Office or Register of Copyrights or the corresponding offices of other countries listed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0000EE"/>
        </w:rPr>
        <w:t>4.13(b)</w:t>
      </w:r>
      <w:r>
        <w:rPr>
          <w:rFonts w:ascii="Arial" w:cs="Arial" w:eastAsia="Arial" w:hAnsi="Arial"/>
          <w:sz w:val="17"/>
          <w:szCs w:val="17"/>
          <w:color w:val="auto"/>
        </w:rPr>
        <w:t>, have been duly issued or filed, as the case may be, and have been properly maintained and renewed in accordance with all applicable provisions of law and administrative regulations in the United States and each such other country. Seller has used commercially reasonable efforts to protect its rights in the Seller Proprietary Rights and has reasonably maintained the confidentiality of its trade secrets, pending patent applications, know-how and other confidential Seller Proprietary Rights, and there have been no acts or omissions by Seller, the result of which would be to materially compromise the rights of Seller to apply for or enforce appropriate legal protection of such Seller Proprietary Rights.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66" w:name="page67"/>
    <w:bookmarkEnd w:id="66"/>
    <w:p>
      <w:pPr>
        <w:jc w:val="both"/>
        <w:ind w:firstLine="1305"/>
        <w:spacing w:after="0" w:line="287" w:lineRule="auto"/>
        <w:tabs>
          <w:tab w:leader="none" w:pos="1692" w:val="left"/>
        </w:tabs>
        <w:numPr>
          <w:ilvl w:val="0"/>
          <w:numId w:val="46"/>
        </w:numPr>
        <w:rPr>
          <w:rFonts w:ascii="Arial" w:cs="Arial" w:eastAsia="Arial" w:hAnsi="Arial"/>
          <w:sz w:val="16"/>
          <w:szCs w:val="16"/>
          <w:color w:val="auto"/>
        </w:rPr>
      </w:pPr>
      <w:r>
        <w:rPr>
          <w:rFonts w:ascii="Arial" w:cs="Arial" w:eastAsia="Arial" w:hAnsi="Arial"/>
          <w:sz w:val="16"/>
          <w:szCs w:val="16"/>
          <w:color w:val="auto"/>
        </w:rPr>
        <w:t>Except for any Patents that may be necessary to comply with a Standard, the use of the Seller Proprietary Rights in the manner used by the Seller prior to the Closing Date does not infringe, misappropriate or otherwise violate any copyright, patent, trademark, service mark, trade secret or other third party Intellectual Property Right, and no claims with respect to the Purchased Assets (including the Seller Proprietary Rights and any of the assets, properties and rights contemplated to be licensed to (or the subject of any license to) Purchasers in connection with the transactions contemplated by this Agreement) have been asserted or are threatened by any person nor is Seller aware of any valid grounds for any claims (i) that the manufacture, development, sale, licensing or use of the Purchased Assets as developed, sold or licensed or used by Seller, infringes, misappropriates or otherwise violates on any copyright, patent, trademark, service mark, trade secret or other third party Intellectual Property Right, (ii) against the use by Seller of any trademarks, service marks, trade names, trade secrets, copyrights, Patents, technology, know-how or computer software programs and applications included in or used in connection with the Purchased Assets (including the Seller Proprietary Rights) or (iii) challenging the ownership by Seller, validity or effectiveness of any of the Purchased Assets (including the Seller Proprietary Rights). No Purchased Assets (including the Seller Proprietary Rights) are subject to any outstanding decree, order, judgment, or stipulation restricting in any manner the licensing thereof by Seller.</w:t>
      </w:r>
    </w:p>
    <w:p>
      <w:pPr>
        <w:spacing w:after="0" w:line="226" w:lineRule="exact"/>
        <w:rPr>
          <w:rFonts w:ascii="Arial" w:cs="Arial" w:eastAsia="Arial" w:hAnsi="Arial"/>
          <w:sz w:val="16"/>
          <w:szCs w:val="16"/>
          <w:color w:val="auto"/>
        </w:rPr>
      </w:pPr>
    </w:p>
    <w:p>
      <w:pPr>
        <w:jc w:val="both"/>
        <w:ind w:firstLine="1305"/>
        <w:spacing w:after="0" w:line="255" w:lineRule="auto"/>
        <w:tabs>
          <w:tab w:leader="none" w:pos="1749"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Each former and current employee, officer and consultant of Seller working or who has worked with the Purchased Assets has executed an employment agreement which covers items, including confidentiality, non-competition, trade secrets, invention disclosures and intellectual property ownership in substantially the form attached hereto as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4.13(g)</w:t>
      </w:r>
      <w:r>
        <w:rPr>
          <w:rFonts w:ascii="Arial" w:cs="Arial" w:eastAsia="Arial" w:hAnsi="Arial"/>
          <w:sz w:val="18"/>
          <w:szCs w:val="18"/>
          <w:color w:val="auto"/>
        </w:rPr>
        <w:t xml:space="preserve"> providing Seller with title and ownership to Seller Proprietary Rights developed or used by Seller and agreeing to maintain the confidentiality of Seller Proprietary Rights and Seller’s other confidential information. To the knowledge of Seller, no employee, officer or consultant of Seller is in violation of any term of any employment or consulting contract, proprietary information and inventions agreement, non-competition agreement, or any other contract or agreement relating to the relationship of any such employee, officer or consultant with Seller or any previous employer.</w:t>
      </w:r>
    </w:p>
    <w:p>
      <w:pPr>
        <w:spacing w:after="0" w:line="243" w:lineRule="exact"/>
        <w:rPr>
          <w:rFonts w:ascii="Arial" w:cs="Arial" w:eastAsia="Arial" w:hAnsi="Arial"/>
          <w:sz w:val="18"/>
          <w:szCs w:val="18"/>
          <w:color w:val="auto"/>
        </w:rPr>
      </w:pPr>
    </w:p>
    <w:p>
      <w:pPr>
        <w:jc w:val="both"/>
        <w:ind w:firstLine="1305"/>
        <w:spacing w:after="0" w:line="259" w:lineRule="auto"/>
        <w:tabs>
          <w:tab w:leader="none" w:pos="1736"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documentation, specifications and other technical data necessary for the development, manufacture, distribution or sale of the Purchased Assets (including the Seller Proprietary Rights) and all written documentation, specifications and other technical data useful for the development, manufacture, distribution or sale of the Purchased Assets (including the Seller Proprietary Rights) which are in Seller’s possession or control will be delivered to Purchasers as part of the Purchased Assets (including the Seller Proprietary Rights).</w:t>
      </w:r>
    </w:p>
    <w:p>
      <w:pPr>
        <w:spacing w:after="0" w:line="240" w:lineRule="exact"/>
        <w:rPr>
          <w:rFonts w:ascii="Arial" w:cs="Arial" w:eastAsia="Arial" w:hAnsi="Arial"/>
          <w:sz w:val="18"/>
          <w:szCs w:val="18"/>
          <w:color w:val="auto"/>
        </w:rPr>
      </w:pPr>
    </w:p>
    <w:p>
      <w:pPr>
        <w:ind w:firstLine="1305"/>
        <w:spacing w:after="0" w:line="277" w:lineRule="auto"/>
        <w:tabs>
          <w:tab w:leader="none" w:pos="168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use of any software that constitutes part of the Seller Proprietary Rights by the Seller has been in compliance with the terms of any open source license for any open source code included in the Seller Proprietary Rights.</w:t>
      </w:r>
    </w:p>
    <w:p>
      <w:pPr>
        <w:spacing w:after="0" w:line="224" w:lineRule="exact"/>
        <w:rPr>
          <w:rFonts w:ascii="Arial" w:cs="Arial" w:eastAsia="Arial" w:hAnsi="Arial"/>
          <w:sz w:val="18"/>
          <w:szCs w:val="18"/>
          <w:color w:val="auto"/>
        </w:rPr>
      </w:pPr>
    </w:p>
    <w:p>
      <w:pPr>
        <w:ind w:left="1700" w:hanging="395"/>
        <w:spacing w:after="0"/>
        <w:tabs>
          <w:tab w:leader="none" w:pos="1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Purchased Assets do not contain open source software.</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Outbound IP License</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1.2(c)</w:t>
      </w:r>
      <w:r>
        <w:rPr>
          <w:rFonts w:ascii="Arial" w:cs="Arial" w:eastAsia="Arial" w:hAnsi="Arial"/>
          <w:sz w:val="18"/>
          <w:szCs w:val="18"/>
          <w:color w:val="auto"/>
        </w:rPr>
        <w:t xml:space="preserve"> lists each Outbound IP License. None of such instruments or documents has been modified or amended, whether in writing, by custom or usage or otherwise and all of such instruments and documents are in full force and effect in accordance with their respective terms.</w:t>
      </w:r>
    </w:p>
    <w:p>
      <w:pPr>
        <w:spacing w:after="0" w:line="23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Purchased Inbound License Agreements</w:t>
      </w:r>
      <w:r>
        <w:rPr>
          <w:rFonts w:ascii="Arial" w:cs="Arial" w:eastAsia="Arial" w:hAnsi="Arial"/>
          <w:sz w:val="18"/>
          <w:szCs w:val="18"/>
          <w:color w:val="auto"/>
        </w:rPr>
        <w:t>. Seller is in compliance with all of its obligations arising under the Purchased Inbound License Agreements in all material respects, and there is no amount due under the Purchased Inbound License Agreements for goods and services provided to Seller prior to the Closing. Neither Seller nor, to Seller’s knowledge, any other party to any of the Purchased Inbound License Agreements is in breach, default or other violation thereunder. There has been no claim that there has been any such default, breach or failure to comply and there are no existing facts or conditions known to Seller that, with or without the passage of time, notice or both, will result in a default under, breach of, or failure to comply with any term or provision of a Purchased Inbound License Agreement.</w:t>
      </w:r>
    </w:p>
    <w:p>
      <w:pPr>
        <w:spacing w:after="0" w:line="2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u w:val="single" w:color="auto"/>
          <w:color w:val="auto"/>
        </w:rPr>
        <w:t>Brokers’ Fees</w:t>
      </w:r>
      <w:r>
        <w:rPr>
          <w:rFonts w:ascii="Arial" w:cs="Arial" w:eastAsia="Arial" w:hAnsi="Arial"/>
          <w:sz w:val="18"/>
          <w:szCs w:val="18"/>
          <w:color w:val="auto"/>
        </w:rPr>
        <w:t>. Seller has no liability to pay any fees or commissions to any broker, finder, or agent with respect to the Purchased Assets, the execution of this Agreement or the transactions contemplated hereunder for which Purchasers could become liable or obligated.</w:t>
      </w:r>
    </w:p>
    <w:p>
      <w:pPr>
        <w:spacing w:after="0" w:line="22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4.17 </w:t>
      </w:r>
      <w:r>
        <w:rPr>
          <w:rFonts w:ascii="Arial" w:cs="Arial" w:eastAsia="Arial" w:hAnsi="Arial"/>
          <w:sz w:val="17"/>
          <w:szCs w:val="17"/>
          <w:u w:val="single" w:color="auto"/>
          <w:color w:val="auto"/>
        </w:rPr>
        <w:t>Solvency</w:t>
      </w:r>
      <w:r>
        <w:rPr>
          <w:rFonts w:ascii="Arial" w:cs="Arial" w:eastAsia="Arial" w:hAnsi="Arial"/>
          <w:sz w:val="17"/>
          <w:szCs w:val="17"/>
          <w:color w:val="auto"/>
        </w:rPr>
        <w:t>. Seller is not now insolvent and will not be rendered insolvent by the transactions contemplated hereunder. As used in this section, “insolvent” means that the sum of the debts and other probable Liens of Seller exceeds the present fair saleable value of Seller’s assets.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67" w:name="page68"/>
    <w:bookmarkEnd w:id="67"/>
    <w:p>
      <w:pPr>
        <w:jc w:val="both"/>
        <w:ind w:firstLine="648"/>
        <w:spacing w:after="0" w:line="270" w:lineRule="auto"/>
        <w:rPr>
          <w:sz w:val="20"/>
          <w:szCs w:val="20"/>
          <w:color w:val="auto"/>
        </w:rPr>
      </w:pPr>
      <w:r>
        <w:rPr>
          <w:rFonts w:ascii="Arial" w:cs="Arial" w:eastAsia="Arial" w:hAnsi="Arial"/>
          <w:sz w:val="17"/>
          <w:szCs w:val="17"/>
          <w:color w:val="auto"/>
        </w:rPr>
        <w:t xml:space="preserve">4.18 </w:t>
      </w:r>
      <w:r>
        <w:rPr>
          <w:rFonts w:ascii="Arial" w:cs="Arial" w:eastAsia="Arial" w:hAnsi="Arial"/>
          <w:sz w:val="17"/>
          <w:szCs w:val="17"/>
          <w:u w:val="single" w:color="auto"/>
          <w:color w:val="auto"/>
        </w:rPr>
        <w:t>Foreign Corrupt Practices</w:t>
      </w:r>
      <w:r>
        <w:rPr>
          <w:rFonts w:ascii="Arial" w:cs="Arial" w:eastAsia="Arial" w:hAnsi="Arial"/>
          <w:sz w:val="17"/>
          <w:szCs w:val="17"/>
          <w:color w:val="auto"/>
        </w:rPr>
        <w:t xml:space="preserve">. Except as described in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0000EE"/>
        </w:rPr>
        <w:t>4.18</w:t>
      </w:r>
      <w:r>
        <w:rPr>
          <w:rFonts w:ascii="Arial" w:cs="Arial" w:eastAsia="Arial" w:hAnsi="Arial"/>
          <w:sz w:val="17"/>
          <w:szCs w:val="17"/>
          <w:color w:val="auto"/>
        </w:rPr>
        <w:t>, neither the Seller nor any of its directors, officers or employees have, with respect to the Business, the Purchased Assets or any government bid, (i) used any funds to offer or provide any unlawful contributions, payments, gifts, gratuities or entertainment, (ii) made any unlawful expenditures relating to political activity to government officials or others, (iii) received notice of any payment identified in (i) or (ii) above, or (iv) made or offered or solicited or accepted any contributions, payments, gifts, gratuities, entertainment or any other item or service or any value as a kickback, bribe or for any other reason in violation of the laws, regulations or requirements of any Governmental Entity, including but not limited to the Anti Kickback Act of 1986, as amended, the Foreign Corrupt Practices Act of 1977, as amended, the Truth in Negotiations Act of 1962, as amended, the Anti Kickback Act of 1986, as amended, or the Office of Federal Procurement Policy Act, as amended, or any FAR provision implementing such laws, or other similar United States or foreign law, (v) violated any requirements of the Defense Industrial Security Manual or the Defense Industrial Security Regulation or any related security regulations, (vi) made any material false statement to any official of a Governmental Body; nor (vii) violated any other law applicable to a government bid.</w:t>
      </w:r>
    </w:p>
    <w:p>
      <w:pPr>
        <w:spacing w:after="0" w:line="23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4.19 </w:t>
      </w:r>
      <w:r>
        <w:rPr>
          <w:rFonts w:ascii="Arial" w:cs="Arial" w:eastAsia="Arial" w:hAnsi="Arial"/>
          <w:sz w:val="18"/>
          <w:szCs w:val="18"/>
          <w:u w:val="single" w:color="auto"/>
          <w:color w:val="auto"/>
        </w:rPr>
        <w:t>Certain Business Relationships Involving the Purchased Assets</w:t>
      </w:r>
      <w:r>
        <w:rPr>
          <w:rFonts w:ascii="Arial" w:cs="Arial" w:eastAsia="Arial" w:hAnsi="Arial"/>
          <w:sz w:val="18"/>
          <w:szCs w:val="18"/>
          <w:color w:val="auto"/>
        </w:rPr>
        <w:t>. None of Seller’s directors, officers, employees or shareholders has been a party to, or otherwise involved in, any business arrangement or relationship involving the Purchased Assets within the past twelve (12) months, and none of Seller’s directors, officers or employees own any asset, tangible or intangible, that is used in the Business.</w:t>
      </w:r>
    </w:p>
    <w:p>
      <w:pPr>
        <w:spacing w:after="0" w:line="23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4.20</w:t>
      </w:r>
      <w:r>
        <w:rPr>
          <w:sz w:val="20"/>
          <w:szCs w:val="20"/>
          <w:color w:val="auto"/>
        </w:rPr>
        <w:tab/>
      </w:r>
      <w:r>
        <w:rPr>
          <w:rFonts w:ascii="Arial" w:cs="Arial" w:eastAsia="Arial" w:hAnsi="Arial"/>
          <w:sz w:val="16"/>
          <w:szCs w:val="16"/>
          <w:u w:val="single" w:color="auto"/>
          <w:color w:val="auto"/>
        </w:rPr>
        <w:t>Specified Employees</w:t>
      </w:r>
      <w:r>
        <w:rPr>
          <w:rFonts w:ascii="Arial" w:cs="Arial" w:eastAsia="Arial" w:hAnsi="Arial"/>
          <w:sz w:val="16"/>
          <w:szCs w:val="16"/>
          <w:color w:val="auto"/>
        </w:rPr>
        <w:t>.</w:t>
      </w:r>
    </w:p>
    <w:p>
      <w:pPr>
        <w:spacing w:after="0" w:line="279" w:lineRule="exact"/>
        <w:rPr>
          <w:sz w:val="20"/>
          <w:szCs w:val="20"/>
          <w:color w:val="auto"/>
        </w:rPr>
      </w:pPr>
    </w:p>
    <w:p>
      <w:pPr>
        <w:jc w:val="both"/>
        <w:ind w:firstLine="1305"/>
        <w:spacing w:after="0" w:line="257" w:lineRule="auto"/>
        <w:tabs>
          <w:tab w:leader="none" w:pos="1712"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6.6</w:t>
      </w:r>
      <w:r>
        <w:rPr>
          <w:rFonts w:ascii="Arial" w:cs="Arial" w:eastAsia="Arial" w:hAnsi="Arial"/>
          <w:sz w:val="18"/>
          <w:szCs w:val="18"/>
          <w:color w:val="auto"/>
        </w:rPr>
        <w:t xml:space="preserve"> contains a list of all the Specified Employees, showing for each Specified Employee the name, title, function, location, and the annual fixed salary or wages as of July 31, 2009 and aggregate annual target compensation for the fiscal year ending December 31, 2009. Except as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6.6</w:t>
      </w:r>
      <w:r>
        <w:rPr>
          <w:rFonts w:ascii="Arial" w:cs="Arial" w:eastAsia="Arial" w:hAnsi="Arial"/>
          <w:sz w:val="18"/>
          <w:szCs w:val="18"/>
          <w:color w:val="auto"/>
        </w:rPr>
        <w:t>, none of the Specified Employees has entered into an early retirement arrangement with Seller. None of the Specified Employees has given notice or otherwise indicated in writing (or to the knowledge of Seller given any other indication) that he or she intends to terminate his or her employment.</w:t>
      </w:r>
    </w:p>
    <w:p>
      <w:pPr>
        <w:spacing w:after="0" w:line="242" w:lineRule="exact"/>
        <w:rPr>
          <w:rFonts w:ascii="Arial" w:cs="Arial" w:eastAsia="Arial" w:hAnsi="Arial"/>
          <w:sz w:val="18"/>
          <w:szCs w:val="18"/>
          <w:color w:val="auto"/>
        </w:rPr>
      </w:pPr>
    </w:p>
    <w:p>
      <w:pPr>
        <w:ind w:firstLine="1305"/>
        <w:spacing w:after="0" w:line="277" w:lineRule="auto"/>
        <w:tabs>
          <w:tab w:leader="none" w:pos="1722"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4.20(b)</w:t>
      </w:r>
      <w:r>
        <w:rPr>
          <w:rFonts w:ascii="Arial" w:cs="Arial" w:eastAsia="Arial" w:hAnsi="Arial"/>
          <w:sz w:val="18"/>
          <w:szCs w:val="18"/>
          <w:color w:val="auto"/>
        </w:rPr>
        <w:t>, with respect to the Specified Employees, Seller is not a party to any collective bargaining agreement, similar written or material unwritten agreement or other relationship with a union or other employee representative.</w:t>
      </w:r>
    </w:p>
    <w:p>
      <w:pPr>
        <w:spacing w:after="0" w:line="224" w:lineRule="exact"/>
        <w:rPr>
          <w:rFonts w:ascii="Arial" w:cs="Arial" w:eastAsia="Arial" w:hAnsi="Arial"/>
          <w:sz w:val="18"/>
          <w:szCs w:val="18"/>
          <w:color w:val="auto"/>
        </w:rPr>
      </w:pPr>
    </w:p>
    <w:p>
      <w:pPr>
        <w:ind w:firstLine="1305"/>
        <w:spacing w:after="0" w:line="277" w:lineRule="auto"/>
        <w:tabs>
          <w:tab w:leader="none" w:pos="1712"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4.20(c)</w:t>
      </w:r>
      <w:r>
        <w:rPr>
          <w:rFonts w:ascii="Arial" w:cs="Arial" w:eastAsia="Arial" w:hAnsi="Arial"/>
          <w:sz w:val="18"/>
          <w:szCs w:val="18"/>
          <w:color w:val="auto"/>
        </w:rPr>
        <w:t xml:space="preserve"> contains a complete and accurate list of all Employee Plans in which any of the Specified Employees participate or are entitled to participate.</w:t>
      </w:r>
    </w:p>
    <w:p>
      <w:pPr>
        <w:spacing w:after="0" w:line="224" w:lineRule="exact"/>
        <w:rPr>
          <w:rFonts w:ascii="Arial" w:cs="Arial" w:eastAsia="Arial" w:hAnsi="Arial"/>
          <w:sz w:val="18"/>
          <w:szCs w:val="18"/>
          <w:color w:val="auto"/>
        </w:rPr>
      </w:pPr>
    </w:p>
    <w:p>
      <w:pPr>
        <w:jc w:val="both"/>
        <w:ind w:firstLine="1305"/>
        <w:spacing w:after="0" w:line="255" w:lineRule="auto"/>
        <w:tabs>
          <w:tab w:leader="none" w:pos="1722"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4.20(d)</w:t>
      </w:r>
      <w:r>
        <w:rPr>
          <w:rFonts w:ascii="Arial" w:cs="Arial" w:eastAsia="Arial" w:hAnsi="Arial"/>
          <w:sz w:val="18"/>
          <w:szCs w:val="18"/>
          <w:color w:val="auto"/>
        </w:rPr>
        <w:t xml:space="preserve">, with respect to the Specified Employees, there is not presently pending or existing, and to Seller’s knowledge there is not threatened, (i) any strike, slowdown, picketing, work stoppage or other material labor dispute, or (ii) any controversies between Seller and any of the Specified Employees.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4.20(d)</w:t>
      </w:r>
      <w:r>
        <w:rPr>
          <w:rFonts w:ascii="Arial" w:cs="Arial" w:eastAsia="Arial" w:hAnsi="Arial"/>
          <w:sz w:val="18"/>
          <w:szCs w:val="18"/>
          <w:color w:val="auto"/>
        </w:rPr>
        <w:t xml:space="preserve"> contains a complete and accurate list of (i) all labor disputes of the kind mentioned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4.20(d)</w:t>
      </w:r>
      <w:r>
        <w:rPr>
          <w:rFonts w:ascii="Arial" w:cs="Arial" w:eastAsia="Arial" w:hAnsi="Arial"/>
          <w:sz w:val="18"/>
          <w:szCs w:val="18"/>
          <w:u w:val="single" w:color="auto"/>
          <w:color w:val="auto"/>
        </w:rPr>
        <w:t>(i)</w:t>
      </w:r>
      <w:r>
        <w:rPr>
          <w:rFonts w:ascii="Arial" w:cs="Arial" w:eastAsia="Arial" w:hAnsi="Arial"/>
          <w:sz w:val="18"/>
          <w:szCs w:val="18"/>
          <w:color w:val="auto"/>
        </w:rPr>
        <w:t xml:space="preserve"> above which have happened in the last five (5) years prior to the date hereof, and (ii) all actions, suits or other proceedings, including but not limited to lawsuits or formally initiated conciliation/arbitration proceedings pending against Seller by any Specified Employee or </w:t>
      </w:r>
      <w:r>
        <w:rPr>
          <w:rFonts w:ascii="Arial" w:cs="Arial" w:eastAsia="Arial" w:hAnsi="Arial"/>
          <w:sz w:val="18"/>
          <w:szCs w:val="18"/>
          <w:i w:val="1"/>
          <w:iCs w:val="1"/>
          <w:color w:val="auto"/>
        </w:rPr>
        <w:t>vice versa</w:t>
      </w:r>
      <w:r>
        <w:rPr>
          <w:rFonts w:ascii="Arial" w:cs="Arial" w:eastAsia="Arial" w:hAnsi="Arial"/>
          <w:sz w:val="18"/>
          <w:szCs w:val="18"/>
          <w:color w:val="auto"/>
        </w:rPr>
        <w:t>, involving works councils or other employee representatives.</w:t>
      </w:r>
    </w:p>
    <w:p>
      <w:pPr>
        <w:spacing w:after="0" w:line="247" w:lineRule="exact"/>
        <w:rPr>
          <w:rFonts w:ascii="Arial" w:cs="Arial" w:eastAsia="Arial" w:hAnsi="Arial"/>
          <w:sz w:val="18"/>
          <w:szCs w:val="18"/>
          <w:color w:val="auto"/>
        </w:rPr>
      </w:pPr>
    </w:p>
    <w:p>
      <w:pPr>
        <w:jc w:val="both"/>
        <w:ind w:firstLine="1305"/>
        <w:spacing w:after="0" w:line="276" w:lineRule="auto"/>
        <w:tabs>
          <w:tab w:leader="none" w:pos="1726"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0000EE"/>
        </w:rPr>
        <w:t>4.20(e)</w:t>
      </w:r>
      <w:r>
        <w:rPr>
          <w:rFonts w:ascii="Arial" w:cs="Arial" w:eastAsia="Arial" w:hAnsi="Arial"/>
          <w:sz w:val="17"/>
          <w:szCs w:val="17"/>
          <w:color w:val="auto"/>
        </w:rPr>
        <w:t>, with respect to the Specified Employees, Seller has no current or potential obligation to provide post-employment health, life or other welfare benefits to such employees other than as required under section 4980B of the U.S. Tax Code or any similar applicable Law. With respect to the Specified Employees or the Business, neither Seller nor any other entity that, together with Seller, is or was (at a relevant time) treated as a single employer under Section 414 of the U.S. Tax Code, has contributed to or has any liability with respect to any plan subject to Title IV of ERISA or “multiemployer plan” (as such term is defined under Section 3(37) of ERISA).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2607945</wp:posOffset>
            </wp:positionH>
            <wp:positionV relativeFrom="paragraph">
              <wp:posOffset>-2479040</wp:posOffset>
            </wp:positionV>
            <wp:extent cx="368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6830" cy="8890"/>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-2033270</wp:posOffset>
            </wp:positionV>
            <wp:extent cx="285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2590800</wp:posOffset>
            </wp:positionH>
            <wp:positionV relativeFrom="paragraph">
              <wp:posOffset>-1587500</wp:posOffset>
            </wp:positionV>
            <wp:extent cx="285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-1175385</wp:posOffset>
            </wp:positionV>
            <wp:extent cx="285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68" w:name="page69"/>
    <w:bookmarkEnd w:id="68"/>
    <w:p>
      <w:pPr>
        <w:jc w:val="both"/>
        <w:ind w:firstLine="1305"/>
        <w:spacing w:after="0" w:line="259" w:lineRule="auto"/>
        <w:tabs>
          <w:tab w:leader="none" w:pos="1706"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Seller has complied in all material respects with all laws applicable to the employment of each of the Specified Employees and has violated no such law in any material respect in connection with the operation of the Business. There do not exist any pending or, to Seller’s knowledge, threatened claims (other than routine undisputed claims for benefits), suits, actions or disputes relating to any Specified Employee with respect to any Employee Plan.</w:t>
      </w:r>
    </w:p>
    <w:p>
      <w:pPr>
        <w:spacing w:after="0" w:line="240" w:lineRule="exact"/>
        <w:rPr>
          <w:rFonts w:ascii="Arial" w:cs="Arial" w:eastAsia="Arial" w:hAnsi="Arial"/>
          <w:sz w:val="18"/>
          <w:szCs w:val="18"/>
          <w:color w:val="auto"/>
        </w:rPr>
      </w:pPr>
    </w:p>
    <w:p>
      <w:pPr>
        <w:jc w:val="both"/>
        <w:ind w:firstLine="1305"/>
        <w:spacing w:after="0" w:line="264" w:lineRule="auto"/>
        <w:tabs>
          <w:tab w:leader="none" w:pos="1722"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4.20(g)</w:t>
      </w:r>
      <w:r>
        <w:rPr>
          <w:rFonts w:ascii="Arial" w:cs="Arial" w:eastAsia="Arial" w:hAnsi="Arial"/>
          <w:sz w:val="18"/>
          <w:szCs w:val="18"/>
          <w:color w:val="auto"/>
        </w:rPr>
        <w:t>, Seller has no Liabilities arising out of the employment, remuneration or hiring of any of the Specified Employees prior to the Closing (and there is no basis for any of the foregoing), other than ordinary payroll and benefit obligations that have been fully accrued for in the ordinary course of business.</w:t>
      </w:r>
    </w:p>
    <w:p>
      <w:pPr>
        <w:spacing w:after="0" w:line="235" w:lineRule="exact"/>
        <w:rPr>
          <w:rFonts w:ascii="Arial" w:cs="Arial" w:eastAsia="Arial" w:hAnsi="Arial"/>
          <w:sz w:val="18"/>
          <w:szCs w:val="18"/>
          <w:color w:val="auto"/>
        </w:rPr>
      </w:pPr>
    </w:p>
    <w:p>
      <w:pPr>
        <w:ind w:firstLine="1305"/>
        <w:spacing w:after="0" w:line="342" w:lineRule="auto"/>
        <w:tabs>
          <w:tab w:leader="none" w:pos="1722" w:val="left"/>
        </w:tabs>
        <w:numPr>
          <w:ilvl w:val="0"/>
          <w:numId w:val="48"/>
        </w:numPr>
        <w:rPr>
          <w:rFonts w:ascii="Arial" w:cs="Arial" w:eastAsia="Arial" w:hAnsi="Arial"/>
          <w:sz w:val="16"/>
          <w:szCs w:val="16"/>
          <w:color w:val="auto"/>
        </w:rPr>
      </w:pPr>
      <w:r>
        <w:rPr>
          <w:rFonts w:ascii="Arial" w:cs="Arial" w:eastAsia="Arial" w:hAnsi="Arial"/>
          <w:sz w:val="16"/>
          <w:szCs w:val="16"/>
          <w:color w:val="auto"/>
        </w:rPr>
        <w:t>With respect to the transactions contemplated hereby, any notice required under any law or collective bargaining agreement has been, or prior to the Closing will be, given, and all bargaining obligations with any employee representative have been, or prior to the Closing will be, satisfied.</w:t>
      </w:r>
    </w:p>
    <w:p>
      <w:pPr>
        <w:spacing w:after="0" w:line="177" w:lineRule="exact"/>
        <w:rPr>
          <w:rFonts w:ascii="Arial" w:cs="Arial" w:eastAsia="Arial" w:hAnsi="Arial"/>
          <w:sz w:val="16"/>
          <w:szCs w:val="16"/>
          <w:color w:val="auto"/>
        </w:rPr>
      </w:pPr>
    </w:p>
    <w:p>
      <w:pPr>
        <w:jc w:val="both"/>
        <w:ind w:firstLine="1305"/>
        <w:spacing w:after="0" w:line="264" w:lineRule="auto"/>
        <w:tabs>
          <w:tab w:leader="none" w:pos="1682"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4.20(i)</w:t>
      </w:r>
      <w:r>
        <w:rPr>
          <w:rFonts w:ascii="Arial" w:cs="Arial" w:eastAsia="Arial" w:hAnsi="Arial"/>
          <w:sz w:val="18"/>
          <w:szCs w:val="18"/>
          <w:color w:val="auto"/>
        </w:rPr>
        <w:t>, the consummation of the transactions contemplated by this Agreement will not accelerate the time of the payment or vesting of, or increase the amount of, or result in the forfeiture of compensation or benefits for any Specified Employee under any Employee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2573655</wp:posOffset>
            </wp:positionH>
            <wp:positionV relativeFrom="paragraph">
              <wp:posOffset>-1341755</wp:posOffset>
            </wp:positionV>
            <wp:extent cx="285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PURCHASERS’ REPRESENTATIONS AND WARRANTIES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Purchasers’ Representations and Warranties</w:t>
      </w:r>
      <w:r>
        <w:rPr>
          <w:rFonts w:ascii="Arial" w:cs="Arial" w:eastAsia="Arial" w:hAnsi="Arial"/>
          <w:sz w:val="16"/>
          <w:szCs w:val="16"/>
          <w:color w:val="auto"/>
        </w:rPr>
        <w:t>.  Each Purchaser hereby represents and warrants to Seller as of the date hereof and as of the Closing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2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Due Organization</w:t>
      </w:r>
      <w:r>
        <w:rPr>
          <w:rFonts w:ascii="Arial" w:cs="Arial" w:eastAsia="Arial" w:hAnsi="Arial"/>
          <w:sz w:val="18"/>
          <w:szCs w:val="18"/>
          <w:color w:val="auto"/>
        </w:rPr>
        <w:t>. Lantiq is a corporation duly incorporated, validly existing and in good standing under the laws of the State of Delaware. Lantiq Germany is a corporation duly incorporated, validly existing and in good standing under the laws of Germany.</w:t>
      </w:r>
    </w:p>
    <w:p>
      <w:pPr>
        <w:spacing w:after="0" w:line="22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Authority</w:t>
      </w:r>
      <w:r>
        <w:rPr>
          <w:rFonts w:ascii="Arial" w:cs="Arial" w:eastAsia="Arial" w:hAnsi="Arial"/>
          <w:sz w:val="16"/>
          <w:szCs w:val="16"/>
          <w:color w:val="auto"/>
        </w:rPr>
        <w:t>. Such Purchaser has the full legal right, power and authority to enter into and perform the transactions contemplated by this Agreement, without need for any consent, approval, authorization, license or order of, or notice to, any court, Governmental Entity or other Person or entity. The execution, delivery and performance of this Agreement and the documents contemplated hereby by such Purchaser and the consummation by such Purchaser of the transactions contemplated hereby and thereby have been duly authorized by all necessary corporate action of such Purchaser. This Agreement evidences the legal, valid and binding obligation of such Purchaser, enforceable against Purchaser in accordance with its terms.</w:t>
      </w:r>
    </w:p>
    <w:p>
      <w:pPr>
        <w:spacing w:after="0" w:line="21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No Default or Violation</w:t>
      </w:r>
      <w:r>
        <w:rPr>
          <w:rFonts w:ascii="Arial" w:cs="Arial" w:eastAsia="Arial" w:hAnsi="Arial"/>
          <w:sz w:val="17"/>
          <w:szCs w:val="17"/>
          <w:color w:val="auto"/>
        </w:rPr>
        <w:t>. The execution, delivery and performance of this Agreement by such Purchaser and the consummation by such Purchaser of the transactions contemplated hereby do not, and will not conflict with such Purchaser’s Articles of Incorporation or By-Laws, violate any law, regulation, order, judgment or decree by which such Purchaser is bound or violate any Contract to which such Purchaser is a party.</w:t>
      </w:r>
    </w:p>
    <w:p>
      <w:pPr>
        <w:spacing w:after="0" w:line="22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Availability of Funds</w:t>
      </w:r>
      <w:r>
        <w:rPr>
          <w:rFonts w:ascii="Arial" w:cs="Arial" w:eastAsia="Arial" w:hAnsi="Arial"/>
          <w:sz w:val="18"/>
          <w:szCs w:val="18"/>
          <w:color w:val="auto"/>
        </w:rPr>
        <w:t>. Such Purchaser currently has access to sufficient immediately available funds in cash or cash equivalents, and shall at the Closing have sufficient immediately available funds, in cash, to pay the Purchase Price.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6</w:t>
      </w:r>
    </w:p>
    <w:p>
      <w:pPr>
        <w:spacing w:after="0" w:line="252" w:lineRule="exact"/>
        <w:rPr>
          <w:sz w:val="20"/>
          <w:szCs w:val="20"/>
          <w:color w:val="auto"/>
        </w:rPr>
      </w:pPr>
    </w:p>
    <w:p>
      <w:pPr>
        <w:ind w:left="4020"/>
        <w:spacing w:after="0"/>
        <w:rPr>
          <w:sz w:val="20"/>
          <w:szCs w:val="20"/>
          <w:color w:val="auto"/>
        </w:rPr>
      </w:pPr>
      <w:r>
        <w:rPr>
          <w:rFonts w:ascii="Arial" w:cs="Arial" w:eastAsia="Arial" w:hAnsi="Arial"/>
          <w:sz w:val="18"/>
          <w:szCs w:val="18"/>
          <w:u w:val="single" w:color="auto"/>
          <w:color w:val="auto"/>
        </w:rPr>
        <w:t>CERTAIN OBLIGATIONS OF THE PARTIES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Certain Obligations of the Parties</w:t>
      </w:r>
      <w:r>
        <w:rPr>
          <w:rFonts w:ascii="Arial" w:cs="Arial" w:eastAsia="Arial" w:hAnsi="Arial"/>
          <w:sz w:val="18"/>
          <w:szCs w:val="18"/>
          <w:color w:val="auto"/>
        </w:rPr>
        <w:t>. The parties covenant and agree as follows:</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Covenant of Further Assurances</w:t>
      </w:r>
      <w:r>
        <w:rPr>
          <w:rFonts w:ascii="Arial" w:cs="Arial" w:eastAsia="Arial" w:hAnsi="Arial"/>
          <w:sz w:val="18"/>
          <w:szCs w:val="18"/>
          <w:color w:val="auto"/>
        </w:rPr>
        <w:t>. Seller shall, at any time and from time to time after the Closing, at its expense, execute, acknowledge, seal and deliver all such instruments and documents, and do all such further things, as Purchasers may reasonably request to perfect and effect the transfer and delivery to Purchasers of any and all of the Purchased Assets or to transfer to or otherwise obtain for Purchasers any consent, license, permit, registration or approval necessary or desirable to accomplish the purchase of the Purchased Assets or to enable Purchasers fully and without restriction to manufacture, distribute and sell the Seller Technology.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69" w:name="page70"/>
    <w:bookmarkEnd w:id="69"/>
    <w:p>
      <w:pPr>
        <w:jc w:val="both"/>
        <w:ind w:firstLine="648"/>
        <w:spacing w:after="0" w:line="255"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Access to Information / Interoperability Lab</w:t>
      </w:r>
      <w:r>
        <w:rPr>
          <w:rFonts w:ascii="Arial" w:cs="Arial" w:eastAsia="Arial" w:hAnsi="Arial"/>
          <w:sz w:val="18"/>
          <w:szCs w:val="18"/>
          <w:color w:val="auto"/>
        </w:rPr>
        <w:t>. From and after the Closing, Seller shall give Purchasers and its representatives access at all reasonable times to the facilities, properties, books, records, officers, employees and agents of Seller as the same relate to the Purchased Assets. In addition, from and after the Closing, Seller shall ensure that employees, contractors, agents and other representatives of Purchasers shall continue to have physical access to Seller’s interoperability lab (currently located in the Stewart lab on the second floor of Seller’s facility in Bedford, Massachusetts ) and be permitted to use the equipment located therein, as well as remote access to Seller’s data and information used in connection therewith, on terms and conditions (including hours and methods of access) no less favorable than Seller’s employees.</w:t>
      </w:r>
    </w:p>
    <w:p>
      <w:pPr>
        <w:spacing w:after="0" w:line="24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Payment of Taxes; Cooperation on Tax Matters</w:t>
      </w:r>
      <w:r>
        <w:rPr>
          <w:rFonts w:ascii="Arial" w:cs="Arial" w:eastAsia="Arial" w:hAnsi="Arial"/>
          <w:sz w:val="16"/>
          <w:szCs w:val="16"/>
          <w:color w:val="auto"/>
        </w:rPr>
        <w:t>.</w:t>
      </w:r>
    </w:p>
    <w:p>
      <w:pPr>
        <w:spacing w:after="0" w:line="279" w:lineRule="exact"/>
        <w:rPr>
          <w:sz w:val="20"/>
          <w:szCs w:val="20"/>
          <w:color w:val="auto"/>
        </w:rPr>
      </w:pPr>
    </w:p>
    <w:p>
      <w:pPr>
        <w:jc w:val="both"/>
        <w:ind w:firstLine="1305"/>
        <w:spacing w:after="0" w:line="276" w:lineRule="auto"/>
        <w:tabs>
          <w:tab w:leader="none" w:pos="1712"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Seller shall pay, promptly and when due, whether at the original time fixed therefor or pursuant to any extension of time to pay or any agreement with tax authorities, any and all taxes, fees and other charges that shall become due or shall have accrued on account of the operation and conduct of Seller’s Technology on or before the Closing or on account of any of the transactions contemplated by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Seller shall not be required to pay any such tax, fee or charge if it is contesting the validity or amount thereof through proper proceedings, in good faith and with reasonable diligence if such contest does not, and will not, have any adverse impact on Purchasers.</w:t>
      </w:r>
    </w:p>
    <w:p>
      <w:pPr>
        <w:spacing w:after="0" w:line="226" w:lineRule="exact"/>
        <w:rPr>
          <w:rFonts w:ascii="Arial" w:cs="Arial" w:eastAsia="Arial" w:hAnsi="Arial"/>
          <w:sz w:val="17"/>
          <w:szCs w:val="17"/>
          <w:color w:val="auto"/>
        </w:rPr>
      </w:pPr>
    </w:p>
    <w:p>
      <w:pPr>
        <w:jc w:val="both"/>
        <w:ind w:firstLine="1305"/>
        <w:spacing w:after="0" w:line="257" w:lineRule="auto"/>
        <w:tabs>
          <w:tab w:leader="none" w:pos="1722"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Seller and Purchasers shall cooperate fully, as and to the extent reasonably requested by the other, in connection with the filing of Tax Returns of each of Seller and each Purchaser or in connection with any audit, litigation or other proceeding with respect to Taxes of the Business. Such cooperation shall include the retention and (upon the other party’s request) the provision of records and information which are reasonably relevant to any such audit, litigation or other proceeding and making representatives available on a mutually convenient basis to provide additional information and explanation of any material provided hereunder.</w:t>
      </w:r>
    </w:p>
    <w:p>
      <w:pPr>
        <w:spacing w:after="0" w:line="24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Non-Competition; Non-Solicitation; Non-Disclosure</w:t>
      </w:r>
      <w:r>
        <w:rPr>
          <w:rFonts w:ascii="Arial" w:cs="Arial" w:eastAsia="Arial" w:hAnsi="Arial"/>
          <w:sz w:val="16"/>
          <w:szCs w:val="16"/>
          <w:color w:val="auto"/>
        </w:rPr>
        <w:t>.</w:t>
      </w:r>
    </w:p>
    <w:p>
      <w:pPr>
        <w:spacing w:after="0" w:line="279" w:lineRule="exact"/>
        <w:rPr>
          <w:sz w:val="20"/>
          <w:szCs w:val="20"/>
          <w:color w:val="auto"/>
        </w:rPr>
      </w:pPr>
    </w:p>
    <w:p>
      <w:pPr>
        <w:jc w:val="both"/>
        <w:ind w:firstLine="1305"/>
        <w:spacing w:after="0" w:line="290" w:lineRule="auto"/>
        <w:tabs>
          <w:tab w:leader="none" w:pos="1739" w:val="left"/>
        </w:tabs>
        <w:numPr>
          <w:ilvl w:val="0"/>
          <w:numId w:val="50"/>
        </w:numPr>
        <w:rPr>
          <w:rFonts w:ascii="Arial" w:cs="Arial" w:eastAsia="Arial" w:hAnsi="Arial"/>
          <w:sz w:val="16"/>
          <w:szCs w:val="16"/>
          <w:color w:val="auto"/>
        </w:rPr>
      </w:pPr>
      <w:r>
        <w:rPr>
          <w:rFonts w:ascii="Arial" w:cs="Arial" w:eastAsia="Arial" w:hAnsi="Arial"/>
          <w:sz w:val="16"/>
          <w:szCs w:val="16"/>
          <w:color w:val="auto"/>
        </w:rPr>
        <w:t>During the period beginning on the Closing Date and ending on the third anniversary of the Closing Date (the “</w:t>
      </w:r>
      <w:r>
        <w:rPr>
          <w:rFonts w:ascii="Arial" w:cs="Arial" w:eastAsia="Arial" w:hAnsi="Arial"/>
          <w:sz w:val="16"/>
          <w:szCs w:val="16"/>
          <w:u w:val="single" w:color="auto"/>
          <w:color w:val="auto"/>
        </w:rPr>
        <w:t>Non-Compete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Period</w:t>
      </w:r>
      <w:r>
        <w:rPr>
          <w:rFonts w:ascii="Arial" w:cs="Arial" w:eastAsia="Arial" w:hAnsi="Arial"/>
          <w:sz w:val="16"/>
          <w:szCs w:val="16"/>
          <w:color w:val="auto"/>
        </w:rPr>
        <w:t>”), Seller shall not, and shall not allow its Affiliates to, either directly or indirectly, Participate in any Competitive Business. “</w:t>
      </w:r>
      <w:r>
        <w:rPr>
          <w:rFonts w:ascii="Arial" w:cs="Arial" w:eastAsia="Arial" w:hAnsi="Arial"/>
          <w:sz w:val="16"/>
          <w:szCs w:val="16"/>
          <w:u w:val="single" w:color="auto"/>
          <w:color w:val="auto"/>
        </w:rPr>
        <w:t>Participate</w:t>
      </w:r>
      <w:r>
        <w:rPr>
          <w:rFonts w:ascii="Arial" w:cs="Arial" w:eastAsia="Arial" w:hAnsi="Arial"/>
          <w:sz w:val="16"/>
          <w:szCs w:val="16"/>
          <w:color w:val="auto"/>
        </w:rPr>
        <w:t xml:space="preserve">” includes any direct or indirect ownership interest in any enterprise or participation in the management of such enterprise, whether as an officer, director, employee, partner, sole proprietor, agent, representative, executive, franchisor, franchisee, creditor, owner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ownership of less than 2% of the outstanding stock of any publicly-traded corporation shall not be deemed to be Participating solely by the reason thereof in any of its business. “Competitive Business” means any business anywhere in the world engaged in any business that the Business conducts or proposes to conduct as of the Closing Date (other than (i) pursuant to relationships with Purchasers or any of its Affiliates, (ii) Seller’s continued business with respect to the Outbound IP Licenses listed in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0000EE"/>
        </w:rPr>
        <w:t>1.2</w:t>
      </w:r>
      <w:r>
        <w:rPr>
          <w:rFonts w:ascii="Arial" w:cs="Arial" w:eastAsia="Arial" w:hAnsi="Arial"/>
          <w:sz w:val="16"/>
          <w:szCs w:val="16"/>
          <w:color w:val="auto"/>
        </w:rPr>
        <w:t>, and (iii) Seller’s continued business with respect to the licensing and/or sale of Non-Purchased Patents).</w:t>
      </w:r>
    </w:p>
    <w:p>
      <w:pPr>
        <w:spacing w:after="0" w:line="220" w:lineRule="exact"/>
        <w:rPr>
          <w:rFonts w:ascii="Arial" w:cs="Arial" w:eastAsia="Arial" w:hAnsi="Arial"/>
          <w:sz w:val="16"/>
          <w:szCs w:val="16"/>
          <w:color w:val="auto"/>
        </w:rPr>
      </w:pPr>
    </w:p>
    <w:p>
      <w:pPr>
        <w:ind w:left="1740" w:hanging="435"/>
        <w:spacing w:after="0"/>
        <w:tabs>
          <w:tab w:leader="none" w:pos="17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Seller agrees, on behalf of itself and each of its Affiliates, that during the Non-Compete Period, Seller shall not, directly or indirectly:</w:t>
      </w:r>
    </w:p>
    <w:p>
      <w:pPr>
        <w:spacing w:after="0" w:line="302" w:lineRule="exact"/>
        <w:rPr>
          <w:rFonts w:ascii="Arial" w:cs="Arial" w:eastAsia="Arial" w:hAnsi="Arial"/>
          <w:sz w:val="16"/>
          <w:szCs w:val="16"/>
          <w:color w:val="auto"/>
        </w:rPr>
      </w:pPr>
    </w:p>
    <w:p>
      <w:pPr>
        <w:ind w:left="2360" w:hanging="407"/>
        <w:spacing w:after="0"/>
        <w:tabs>
          <w:tab w:leader="none" w:pos="23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induce or attempt to induce any employee of either Purchaser, including the Specified Employees, to leave the employ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Purchaser; or</w:t>
      </w:r>
    </w:p>
    <w:p>
      <w:pPr>
        <w:spacing w:after="0" w:line="264" w:lineRule="exact"/>
        <w:rPr>
          <w:rFonts w:ascii="Arial" w:cs="Arial" w:eastAsia="Arial" w:hAnsi="Arial"/>
          <w:sz w:val="16"/>
          <w:szCs w:val="16"/>
          <w:color w:val="auto"/>
        </w:rPr>
      </w:pPr>
    </w:p>
    <w:p>
      <w:pPr>
        <w:ind w:left="2380" w:hanging="427"/>
        <w:spacing w:after="0"/>
        <w:tabs>
          <w:tab w:leader="none" w:pos="23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hire any employee of either Purchaser without the prior written consent of such Purchaser.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70" w:name="page71"/>
    <w:bookmarkEnd w:id="70"/>
    <w:p>
      <w:pPr>
        <w:jc w:val="both"/>
        <w:ind w:firstLine="1305"/>
        <w:spacing w:after="0" w:line="257" w:lineRule="auto"/>
        <w:tabs>
          <w:tab w:leader="none" w:pos="1712"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Seller agrees, on behalf of itself and each of its Affiliates, that during the period beginning on the Closing Date and ending on the first anniversary of the Closing Date, Seller shall not, directly or indirectly, employ or otherwise retain the services of any Specified Employee (it being agreed that if a Specified Employee accepts an employment position with a Purchaser or a third party and such Purchaser or third party terminates the employment of such Specified Employee prior to the first anniversary of the Closing Date, then, subject in all circumstances to </w:t>
      </w:r>
      <w:r>
        <w:rPr>
          <w:rFonts w:ascii="Arial" w:cs="Arial" w:eastAsia="Arial" w:hAnsi="Arial"/>
          <w:sz w:val="18"/>
          <w:szCs w:val="18"/>
          <w:u w:val="single" w:color="auto"/>
          <w:color w:val="auto"/>
        </w:rPr>
        <w:t>Section 6.4(b)</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6.4(c)</w:t>
      </w:r>
      <w:r>
        <w:rPr>
          <w:rFonts w:ascii="Arial" w:cs="Arial" w:eastAsia="Arial" w:hAnsi="Arial"/>
          <w:sz w:val="18"/>
          <w:szCs w:val="18"/>
          <w:color w:val="auto"/>
        </w:rPr>
        <w:t xml:space="preserve"> shall not restrict Seller’s right to hire such Specified Employee following such termination).</w:t>
      </w:r>
    </w:p>
    <w:p>
      <w:pPr>
        <w:spacing w:after="0" w:line="242" w:lineRule="exact"/>
        <w:rPr>
          <w:rFonts w:ascii="Arial" w:cs="Arial" w:eastAsia="Arial" w:hAnsi="Arial"/>
          <w:sz w:val="18"/>
          <w:szCs w:val="18"/>
          <w:color w:val="auto"/>
        </w:rPr>
      </w:pPr>
    </w:p>
    <w:p>
      <w:pPr>
        <w:ind w:left="1740" w:hanging="435"/>
        <w:spacing w:after="0"/>
        <w:tabs>
          <w:tab w:leader="none" w:pos="1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Purchaser agrees, on behalf of itself, that during the Non-Compete Period, it shall not, directly or indirectly:</w:t>
      </w:r>
    </w:p>
    <w:p>
      <w:pPr>
        <w:spacing w:after="0" w:line="279" w:lineRule="exact"/>
        <w:rPr>
          <w:rFonts w:ascii="Arial" w:cs="Arial" w:eastAsia="Arial" w:hAnsi="Arial"/>
          <w:sz w:val="18"/>
          <w:szCs w:val="18"/>
          <w:color w:val="auto"/>
        </w:rPr>
      </w:pPr>
    </w:p>
    <w:p>
      <w:pPr>
        <w:ind w:left="2340" w:hanging="387"/>
        <w:spacing w:after="0"/>
        <w:tabs>
          <w:tab w:leader="none" w:pos="2340" w:val="left"/>
        </w:tabs>
        <w:numPr>
          <w:ilvl w:val="1"/>
          <w:numId w:val="51"/>
        </w:numPr>
        <w:rPr>
          <w:rFonts w:ascii="Arial" w:cs="Arial" w:eastAsia="Arial" w:hAnsi="Arial"/>
          <w:sz w:val="16"/>
          <w:szCs w:val="16"/>
          <w:color w:val="auto"/>
        </w:rPr>
      </w:pPr>
      <w:r>
        <w:rPr>
          <w:rFonts w:ascii="Arial" w:cs="Arial" w:eastAsia="Arial" w:hAnsi="Arial"/>
          <w:sz w:val="16"/>
          <w:szCs w:val="16"/>
          <w:color w:val="auto"/>
        </w:rPr>
        <w:t>induce or attempt to induce any employee of Seller (other than the Specified Employees) to leave the employ of Seller; or</w:t>
      </w:r>
    </w:p>
    <w:p>
      <w:pPr>
        <w:spacing w:after="0" w:line="302" w:lineRule="exact"/>
        <w:rPr>
          <w:rFonts w:ascii="Arial" w:cs="Arial" w:eastAsia="Arial" w:hAnsi="Arial"/>
          <w:sz w:val="16"/>
          <w:szCs w:val="16"/>
          <w:color w:val="auto"/>
        </w:rPr>
      </w:pPr>
    </w:p>
    <w:p>
      <w:pPr>
        <w:ind w:left="2380" w:hanging="427"/>
        <w:spacing w:after="0"/>
        <w:tabs>
          <w:tab w:leader="none" w:pos="23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hire any employee of Seller (other than the Specified Employees) without the prior written consent of Seller.</w:t>
      </w:r>
    </w:p>
    <w:p>
      <w:pPr>
        <w:spacing w:after="0" w:line="279" w:lineRule="exact"/>
        <w:rPr>
          <w:rFonts w:ascii="Arial" w:cs="Arial" w:eastAsia="Arial" w:hAnsi="Arial"/>
          <w:sz w:val="18"/>
          <w:szCs w:val="18"/>
          <w:color w:val="auto"/>
        </w:rPr>
      </w:pPr>
    </w:p>
    <w:p>
      <w:pPr>
        <w:jc w:val="both"/>
        <w:ind w:firstLine="1305"/>
        <w:spacing w:after="0" w:line="291" w:lineRule="auto"/>
        <w:tabs>
          <w:tab w:leader="none" w:pos="1726" w:val="left"/>
        </w:tabs>
        <w:numPr>
          <w:ilvl w:val="0"/>
          <w:numId w:val="51"/>
        </w:numPr>
        <w:rPr>
          <w:rFonts w:ascii="Arial" w:cs="Arial" w:eastAsia="Arial" w:hAnsi="Arial"/>
          <w:sz w:val="16"/>
          <w:szCs w:val="16"/>
          <w:color w:val="auto"/>
        </w:rPr>
      </w:pPr>
      <w:r>
        <w:rPr>
          <w:rFonts w:ascii="Arial" w:cs="Arial" w:eastAsia="Arial" w:hAnsi="Arial"/>
          <w:sz w:val="16"/>
          <w:szCs w:val="16"/>
          <w:color w:val="auto"/>
        </w:rPr>
        <w:t>Seller shall keep confidential, and shall not disclose to any third party or use any confidential or proprietary information or trade secret relating to the Seller Technology or any other Purchased Asset, including, by way of example and without limitation, vendor lists, customer lists, source code, know-how and trade secrets, except to the extent such information is published for dissemination to the general public by, or with the written consent of, Purchasers. For avoidance of doubt, notwithstanding anything of the foregoing, Seller may use any information retained in the unaided memories of Seller’s employees who have had access to the Seller Technology or any other Purchased Asset. An employee’s memory is unaided if the employee has not intentionally memorized the information for the purpose of retaining and subsequently using or disclosing it to a third party. It is understood that no license or right of use under any Patent or patentable right, copyright or trademark is granted or conveyed by this right under this Agreement.</w:t>
      </w:r>
    </w:p>
    <w:p>
      <w:pPr>
        <w:spacing w:after="0" w:line="221" w:lineRule="exact"/>
        <w:rPr>
          <w:rFonts w:ascii="Arial" w:cs="Arial" w:eastAsia="Arial" w:hAnsi="Arial"/>
          <w:sz w:val="16"/>
          <w:szCs w:val="16"/>
          <w:color w:val="auto"/>
        </w:rPr>
      </w:pPr>
    </w:p>
    <w:p>
      <w:pPr>
        <w:jc w:val="both"/>
        <w:ind w:firstLine="1305"/>
        <w:spacing w:after="0" w:line="259" w:lineRule="auto"/>
        <w:tabs>
          <w:tab w:leader="none" w:pos="1692"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Seller acknowledges and agrees that (i) the restrictions contained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0000EE"/>
        </w:rPr>
        <w:t>6.4</w:t>
      </w:r>
      <w:r>
        <w:rPr>
          <w:rFonts w:ascii="Arial" w:cs="Arial" w:eastAsia="Arial" w:hAnsi="Arial"/>
          <w:sz w:val="18"/>
          <w:szCs w:val="18"/>
          <w:color w:val="auto"/>
        </w:rPr>
        <w:t xml:space="preserve"> for the benefit of Purchasers are reasonable in all respects (including with respect to the subject matter, time period and geographical area) and are necessary to protect the value of the Purchased Assets, (ii) Seller is primarily responsible for the creation of such value and (ii) Purchasers would not have consummated the transactions contemplated hereby without the restrictions contained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0000EE"/>
        </w:rPr>
        <w:t>6.4</w:t>
      </w:r>
      <w:r>
        <w:rPr>
          <w:rFonts w:ascii="Arial" w:cs="Arial" w:eastAsia="Arial" w:hAnsi="Arial"/>
          <w:sz w:val="18"/>
          <w:szCs w:val="18"/>
          <w:color w:val="auto"/>
        </w:rPr>
        <w:t>.</w:t>
      </w:r>
    </w:p>
    <w:p>
      <w:pPr>
        <w:spacing w:after="0" w:line="24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u w:val="single" w:color="auto"/>
          <w:color w:val="auto"/>
        </w:rPr>
        <w:t>DSL License Agreement; Assignment of Intellectual Property</w:t>
      </w:r>
      <w:r>
        <w:rPr>
          <w:rFonts w:ascii="Arial" w:cs="Arial" w:eastAsia="Arial" w:hAnsi="Arial"/>
          <w:sz w:val="16"/>
          <w:szCs w:val="16"/>
          <w:color w:val="auto"/>
        </w:rPr>
        <w:t>. Seller shall have executed and delivered (i) the DSL License Agreement and</w:t>
      </w:r>
    </w:p>
    <w:p>
      <w:pPr>
        <w:spacing w:after="0" w:line="23" w:lineRule="exact"/>
        <w:rPr>
          <w:sz w:val="20"/>
          <w:szCs w:val="20"/>
          <w:color w:val="auto"/>
        </w:rPr>
      </w:pPr>
    </w:p>
    <w:p>
      <w:pPr>
        <w:ind w:left="660" w:right="1300" w:hanging="652"/>
        <w:spacing w:after="0" w:line="555" w:lineRule="auto"/>
        <w:tabs>
          <w:tab w:leader="none" w:pos="277"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assignments of all necessary Seller Proprietary Rights including the Patent Assignment Agreement attached hereto as </w:t>
      </w:r>
      <w:r>
        <w:rPr>
          <w:rFonts w:ascii="Arial" w:cs="Arial" w:eastAsia="Arial" w:hAnsi="Arial"/>
          <w:sz w:val="18"/>
          <w:szCs w:val="18"/>
          <w:u w:val="single" w:color="auto"/>
          <w:color w:val="auto"/>
        </w:rPr>
        <w:t>Schedule 1.1(a)(i)</w:t>
      </w:r>
      <w:r>
        <w:rPr>
          <w:rFonts w:ascii="Arial" w:cs="Arial" w:eastAsia="Arial" w:hAnsi="Arial"/>
          <w:sz w:val="18"/>
          <w:szCs w:val="18"/>
          <w:color w:val="auto"/>
        </w:rPr>
        <w:t xml:space="preserve">. 6.6 </w:t>
      </w:r>
      <w:r>
        <w:rPr>
          <w:rFonts w:ascii="Arial" w:cs="Arial" w:eastAsia="Arial" w:hAnsi="Arial"/>
          <w:sz w:val="18"/>
          <w:szCs w:val="18"/>
          <w:u w:val="single" w:color="auto"/>
          <w:color w:val="auto"/>
        </w:rPr>
        <w:t>Employee Matters</w:t>
      </w:r>
      <w:r>
        <w:rPr>
          <w:rFonts w:ascii="Arial" w:cs="Arial" w:eastAsia="Arial" w:hAnsi="Arial"/>
          <w:sz w:val="18"/>
          <w:szCs w:val="18"/>
          <w:color w:val="auto"/>
        </w:rPr>
        <w:t>.</w:t>
      </w:r>
    </w:p>
    <w:p>
      <w:pPr>
        <w:jc w:val="both"/>
        <w:ind w:firstLine="1305"/>
        <w:spacing w:after="0" w:line="284" w:lineRule="auto"/>
        <w:tabs>
          <w:tab w:leader="none" w:pos="1712"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t>Employment Offers</w:t>
      </w:r>
      <w:r>
        <w:rPr>
          <w:rFonts w:ascii="Arial" w:cs="Arial" w:eastAsia="Arial" w:hAnsi="Arial"/>
          <w:sz w:val="16"/>
          <w:szCs w:val="16"/>
          <w:color w:val="auto"/>
        </w:rPr>
        <w:t xml:space="preserve">. The employees of Seller as set forth in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0000EE"/>
        </w:rPr>
        <w:t>6.6</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Specified Employee</w:t>
      </w:r>
      <w:r>
        <w:rPr>
          <w:rFonts w:ascii="Arial" w:cs="Arial" w:eastAsia="Arial" w:hAnsi="Arial"/>
          <w:sz w:val="16"/>
          <w:szCs w:val="16"/>
          <w:color w:val="auto"/>
        </w:rPr>
        <w:t xml:space="preserve">”) shall continue to be employed by Seller at the Closing. At the Closing, each Specified Employee shall be offered employment by Lantiq US, with terms and conditions of employment, including base compensation, bonus opportunity and benefits, that are substantially comparable in the aggregate to those provided by Seller to such Specified Employee immediately prior to the Closing (but not including any equity-based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Agreement shall limit the ability of Lantiq US (or one of its Affiliates) to reduce the rate of compensation or benefits, or terminate the employment, of any Specified Employee following acceptance of such offer. Effective on the Closing Date, Seller shall terminate and Lantiq US shall hire each Specified Employee who accepts such offer of employment from Lantiq US or one of its Affiliates. Seller hereby consents to Lantiq US (or one of its Affiliates) contacting each Specified Employee with respect to the desire of such employee to enter the employ of Lantiq US (or one of its Affiliates) and Seller shall cooperate in good faith with and use its commercially reasonable efforts to assist Lantiq US to cause such Specified Employees to accept such offer of employment. Specified Employees will receive credit for such employees’ period of employment with Seller for purposes of calculating future accruals under any vacation program and for purposes of determining severance pay under any applicable severance plan of Lantiq US;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Lantiq US shall not assume any Liability for any retention, severance, change-of-control or similar agreements between Seller or any of its Affiliates and any of the Specified Employees in effect as of the Closing Date, and Seller shall retain Liability for all obligations under any such retention, severance, change-of-control or similar agreements. Notwithstanding anything to the contrary set forth herein, and for the avoidance of doubt, Seller shall also remain solely liable and shall pay to each Specified Employee any and all wages, salaries, vacation pay and compensation of any kind payable to any Specified Employee for any period ending on or prior to the Closing Date. Furthermore, Seller shall process final payroll payments to Specified Employees with respect to the payroll period in which the Closing Date occurs and such payments shall include all compensation and vacation pay that is earned but unpaid as of the Closing Date and during the entire payroll period in which the Closing Date occurs and shall be made on or as soon as reasonably practicable following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Purchaser shall reimburse Seller within five (5) business days of receipt of an invoice from Seller for the portion of such payments relating solely to compensation earned during post-Closing periods, the employer’s portion of payroll taxes on such post-Closing compensation (e.g., FICA) and employer matching contributions on the portion of such post-Closing compensation that is deferred under Seller’s 401(k) plan. Seller shall deliver to Lantiq US as soon as reasonably practicable after the Closing Date all personnel files and employment records relating to the Specified Employees who accept employment offers from Lantiq US,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Seller may retain one copy of such files and records for applicable legally-required document retention purposes.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71" w:name="page72"/>
    <w:bookmarkEnd w:id="71"/>
    <w:p>
      <w:pPr>
        <w:jc w:val="both"/>
        <w:ind w:firstLine="1305"/>
        <w:spacing w:after="0" w:line="273" w:lineRule="auto"/>
        <w:tabs>
          <w:tab w:leader="none" w:pos="1722"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COBRA</w:t>
      </w:r>
      <w:r>
        <w:rPr>
          <w:rFonts w:ascii="Arial" w:cs="Arial" w:eastAsia="Arial" w:hAnsi="Arial"/>
          <w:sz w:val="17"/>
          <w:szCs w:val="17"/>
          <w:color w:val="auto"/>
        </w:rPr>
        <w:t>. Seller is wholly responsible for complying with all applicable health care continuation coverage requirements under Section 4980B of the U.S. Tax Code or similar applicable laws (“</w:t>
      </w:r>
      <w:r>
        <w:rPr>
          <w:rFonts w:ascii="Arial" w:cs="Arial" w:eastAsia="Arial" w:hAnsi="Arial"/>
          <w:sz w:val="17"/>
          <w:szCs w:val="17"/>
          <w:u w:val="single" w:color="auto"/>
          <w:color w:val="auto"/>
        </w:rPr>
        <w:t>COBRA</w:t>
      </w:r>
      <w:r>
        <w:rPr>
          <w:rFonts w:ascii="Arial" w:cs="Arial" w:eastAsia="Arial" w:hAnsi="Arial"/>
          <w:sz w:val="17"/>
          <w:szCs w:val="17"/>
          <w:color w:val="auto"/>
        </w:rPr>
        <w:t>”) under Seller’s group health plans with respect to Specified Employees (and covered dependents) whose qualifying events occur while such Specified Employees (and covered dependents) participate under Seller’s group health plan and Purchaser is wholly responsible for complying with such coverage requirements under COBRA under Purchaser’s group health plan with respect to employees (and covered dependents) employed by Lantiq US or one of its Affiliates from and after the Closing whose qualifying events occur while such employees (and covered dependents) participate under Purchaser’s group health plan.</w:t>
      </w:r>
    </w:p>
    <w:p>
      <w:pPr>
        <w:spacing w:after="0" w:line="232" w:lineRule="exact"/>
        <w:rPr>
          <w:rFonts w:ascii="Arial" w:cs="Arial" w:eastAsia="Arial" w:hAnsi="Arial"/>
          <w:sz w:val="17"/>
          <w:szCs w:val="17"/>
          <w:color w:val="auto"/>
        </w:rPr>
      </w:pPr>
    </w:p>
    <w:p>
      <w:pPr>
        <w:jc w:val="both"/>
        <w:ind w:firstLine="1305"/>
        <w:spacing w:after="0" w:line="284" w:lineRule="auto"/>
        <w:tabs>
          <w:tab w:leader="none" w:pos="1712"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Employee Benefits</w:t>
      </w:r>
      <w:r>
        <w:rPr>
          <w:rFonts w:ascii="Arial" w:cs="Arial" w:eastAsia="Arial" w:hAnsi="Arial"/>
          <w:sz w:val="16"/>
          <w:szCs w:val="16"/>
          <w:color w:val="auto"/>
        </w:rPr>
        <w:t xml:space="preserve">. As of the day immediately following the Closing Date and for six months following the Closing Date, Lantiq US or one of its Affiliates shall permit Specified Employees to be eligible to participate in employee plans and benefit arrangements of Lantiq US (or such Affiliate) that provide benefits that are substantially comparable in the aggregate to those provided by Seller to such Specified Employees immediately prior to the Closing (but not including any equity-based compensation) in accordance with the then prevailing terms of such employee plans and benefit arrangements,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nothing herein shall prevent Lantiq US (or such Affiliate) from terminating the employment of any such Specified Employee or modifying or terminating such plans from time to time, (ii) for eligibility and vesting purposes under any such plan for which a Specified Employee may be eligible after the Closing Date, Lantiq US (or such Affiliate) shall ensure that service by such Specified Employee with Seller shall be deemed to have been service with Lantiq US (or such Affiliate), provided such crediting of service does not result in a duplication of benefits, (iii) all Specified Employees and their spouses and dependents who are covered under Seller’s respective health plans at the time of the Closing shall be covered immediately after the Closing Date, without any gap in coverage (and shall not be excluded from coverage on account of any pre-existing condition) under a group health plan of Lantiq US (or such Affiliate), and (iv) Purchaser shall not be required to have a replacement 401(k) plan in place immediately following the Closing Date as long as Purchaser uses commercially reasonable efforts to adopt such plan as soon as reasonably practicable following the Closing Date. Effective as of the Closing Date, Seller shall take all such actions as are necessary to fully vest Specified Employees in all of their account balances under Seller’s 401(k) plan. Lantiq US and Seller shall use commercially reasonable efforts to permit Specified Employees to rollover their account balances under the Seller’s 401(k) plan (in the form of cash and notes associated with plan loans) to a 401(k) plan sponsored by Purchaser (or one of its Affiliates) as soon as reasonably practicable on or after the Closing Date. Seller shall not place any Specified Employees’ plan loans into default prior to the date of such rollovers as long as such rollovers occur prior to the last day of the calendar quarter following the calendar quarter in which the Closing Date occurs. Notwithstanding anything in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0000EE"/>
        </w:rPr>
        <w:t>6.6</w:t>
      </w:r>
      <w:r>
        <w:rPr>
          <w:rFonts w:ascii="Arial" w:cs="Arial" w:eastAsia="Arial" w:hAnsi="Arial"/>
          <w:sz w:val="16"/>
          <w:szCs w:val="16"/>
          <w:color w:val="0000EE"/>
        </w:rPr>
        <w:t xml:space="preserve"> </w:t>
      </w:r>
      <w:r>
        <w:rPr>
          <w:rFonts w:ascii="Arial" w:cs="Arial" w:eastAsia="Arial" w:hAnsi="Arial"/>
          <w:sz w:val="16"/>
          <w:szCs w:val="16"/>
          <w:color w:val="000000"/>
        </w:rPr>
        <w:t>to the contrary, if Lantiq US’s welfare benefit plans providing medical and dental coverages have not been adopted and are not available to provide</w:t>
      </w:r>
      <w:r>
        <w:rPr>
          <w:rFonts w:ascii="Arial" w:cs="Arial" w:eastAsia="Arial" w:hAnsi="Arial"/>
          <w:sz w:val="16"/>
          <w:szCs w:val="16"/>
          <w:color w:val="0000EE"/>
        </w:rPr>
        <w:t xml:space="preserve"> </w:t>
      </w:r>
      <w:r>
        <w:rPr>
          <w:rFonts w:ascii="Arial" w:cs="Arial" w:eastAsia="Arial" w:hAnsi="Arial"/>
          <w:sz w:val="16"/>
          <w:szCs w:val="16"/>
          <w:color w:val="000000"/>
        </w:rPr>
        <w:t xml:space="preserve">benefits to Specified Employees on the day immediately following the Closing Date, Seller shall take such actions as are necessary to permit Specified Employees (and their covered dependents) to continue to participate under Seller’s group medical and dental plans through December 31, 2009;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Purchaser reimburses Seller for the cost of premiums for such coverage for each full calendar month of coverage occurring during the period beginning on the Closing Date and ending on December 31, 2009. As soon as reasonably practicable after the date of this Agreement, Seller shall inform the Specified Employees of the effect of the transaction contemplated under this Agreement on such employees’ health-care and dependent-care flexible spending accounts, including the fact that such employees may forfeit unused amounts under such accounts if they do not incur sufficient reimbursable expenses prior to the Closing Date.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72" w:name="page73"/>
    <w:bookmarkEnd w:id="72"/>
    <w:p>
      <w:pPr>
        <w:jc w:val="both"/>
        <w:ind w:firstLine="1305"/>
        <w:spacing w:after="0" w:line="286" w:lineRule="auto"/>
        <w:tabs>
          <w:tab w:leader="none" w:pos="1763"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Certain Foreign National Employees</w:t>
      </w:r>
      <w:r>
        <w:rPr>
          <w:rFonts w:ascii="Arial" w:cs="Arial" w:eastAsia="Arial" w:hAnsi="Arial"/>
          <w:sz w:val="16"/>
          <w:szCs w:val="16"/>
          <w:color w:val="auto"/>
        </w:rPr>
        <w:t xml:space="preserve">. The parties recognize that the Specified Employees listed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color w:val="0000EE"/>
        </w:rPr>
        <w:t>6.6(d)</w:t>
      </w:r>
      <w:r>
        <w:rPr>
          <w:rFonts w:ascii="Arial" w:cs="Arial" w:eastAsia="Arial" w:hAnsi="Arial"/>
          <w:sz w:val="16"/>
          <w:szCs w:val="16"/>
          <w:color w:val="auto"/>
        </w:rPr>
        <w:t xml:space="preserve"> are in nonimmigrant visa status or have applications for lawful permanent residence pending with the relevant Governmental Entities (the “</w:t>
      </w:r>
      <w:r>
        <w:rPr>
          <w:rFonts w:ascii="Arial" w:cs="Arial" w:eastAsia="Arial" w:hAnsi="Arial"/>
          <w:sz w:val="16"/>
          <w:szCs w:val="16"/>
          <w:u w:val="single" w:color="auto"/>
          <w:color w:val="auto"/>
        </w:rPr>
        <w:t>Affected Foreign</w:t>
      </w:r>
      <w:r>
        <w:rPr>
          <w:rFonts w:ascii="Arial" w:cs="Arial" w:eastAsia="Arial" w:hAnsi="Arial"/>
          <w:sz w:val="16"/>
          <w:szCs w:val="16"/>
          <w:color w:val="auto"/>
        </w:rPr>
        <w:t xml:space="preserve"> </w:t>
      </w:r>
      <w:r>
        <w:rPr>
          <w:rFonts w:ascii="Arial" w:cs="Arial" w:eastAsia="Arial" w:hAnsi="Arial"/>
          <w:sz w:val="16"/>
          <w:szCs w:val="16"/>
          <w:u w:val="single" w:color="auto"/>
          <w:color w:val="auto"/>
        </w:rPr>
        <w:t>National Employees</w:t>
      </w:r>
      <w:r>
        <w:rPr>
          <w:rFonts w:ascii="Arial" w:cs="Arial" w:eastAsia="Arial" w:hAnsi="Arial"/>
          <w:sz w:val="16"/>
          <w:szCs w:val="16"/>
          <w:color w:val="auto"/>
        </w:rPr>
        <w:t xml:space="preserve">”). The parties further recognize that new or amended petitions with respect to such Affected Foreign National Employees may be required in certain of these cases identified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color w:val="0000EE"/>
        </w:rPr>
        <w:t>6.6(d)</w:t>
      </w:r>
      <w:r>
        <w:rPr>
          <w:rFonts w:ascii="Arial" w:cs="Arial" w:eastAsia="Arial" w:hAnsi="Arial"/>
          <w:sz w:val="16"/>
          <w:szCs w:val="16"/>
          <w:color w:val="auto"/>
        </w:rPr>
        <w:t>, unless Lantiq US (or any of its Affiliates, as the case may be) is deemed the “successor-in-interest” to Seller (as such term is used in pronouncements by the U.S. Citizenship and Immigration Service (“</w:t>
      </w:r>
      <w:r>
        <w:rPr>
          <w:rFonts w:ascii="Arial" w:cs="Arial" w:eastAsia="Arial" w:hAnsi="Arial"/>
          <w:sz w:val="16"/>
          <w:szCs w:val="16"/>
          <w:u w:val="single" w:color="auto"/>
          <w:color w:val="auto"/>
        </w:rPr>
        <w:t>USCIS</w:t>
      </w:r>
      <w:r>
        <w:rPr>
          <w:rFonts w:ascii="Arial" w:cs="Arial" w:eastAsia="Arial" w:hAnsi="Arial"/>
          <w:sz w:val="16"/>
          <w:szCs w:val="16"/>
          <w:color w:val="auto"/>
        </w:rPr>
        <w:t>”)) with respect to such Affected Foreign National Employees. Accordingly, Lantiq US hereby agrees to assume Seller’s obligations to the USCIS as “successor-in-interest” under such pending applications with respect to the related Affected Foreign National Employees (including any obligations arising from or under attestations made in each certified and still effective Labor Condition Application (“</w:t>
      </w:r>
      <w:r>
        <w:rPr>
          <w:rFonts w:ascii="Arial" w:cs="Arial" w:eastAsia="Arial" w:hAnsi="Arial"/>
          <w:sz w:val="16"/>
          <w:szCs w:val="16"/>
          <w:u w:val="single" w:color="auto"/>
          <w:color w:val="auto"/>
        </w:rPr>
        <w:t>LCA</w:t>
      </w:r>
      <w:r>
        <w:rPr>
          <w:rFonts w:ascii="Arial" w:cs="Arial" w:eastAsia="Arial" w:hAnsi="Arial"/>
          <w:sz w:val="16"/>
          <w:szCs w:val="16"/>
          <w:color w:val="auto"/>
        </w:rPr>
        <w:t xml:space="preserve">”) filed by Seller with respect to any such Affected Foreign National Employees);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assumption shall not grant to any such Affected Foreign National Employee any rights enforceable by such employee against Lantiq US. Each party agrees to use commercially reasonable efforts to take such actions as may reasonably be requested at and following the Closing Date to document to the USCIS or such other Governmental Entity, as the case may be, as may be necessary to memorialize the “successor-in-interest” relationship with respect to any Affected Foreign National Employees. Seller shall provide Purchaser with true and complete copies of all applications, petitions and other documentation related to the Affected Foreign National Employees’ immigration status on or before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6568440</wp:posOffset>
            </wp:positionH>
            <wp:positionV relativeFrom="paragraph">
              <wp:posOffset>-1688465</wp:posOffset>
            </wp:positionV>
            <wp:extent cx="3302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0200" cy="889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-1276985</wp:posOffset>
            </wp:positionV>
            <wp:extent cx="3048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04800" cy="8890"/>
                    </a:xfrm>
                    <a:prstGeom prst="rect">
                      <a:avLst/>
                    </a:prstGeom>
                    <a:noFill/>
                  </pic:spPr>
                </pic:pic>
              </a:graphicData>
            </a:graphic>
          </wp:anchor>
        </w:drawing>
      </w:r>
    </w:p>
    <w:p>
      <w:pPr>
        <w:spacing w:after="0" w:line="20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Transitional IT Assistance</w:t>
      </w:r>
      <w:r>
        <w:rPr>
          <w:rFonts w:ascii="Arial" w:cs="Arial" w:eastAsia="Arial" w:hAnsi="Arial"/>
          <w:sz w:val="16"/>
          <w:szCs w:val="16"/>
          <w:color w:val="auto"/>
        </w:rPr>
        <w:t xml:space="preserve">. Seller shall provide the IT Services, including the following: (i) Separation Services to implement the Transitional Environment and complete the Logical IT Carve-out pursuant to the High Level IT Carve-out Project Plan attached hereto as </w:t>
      </w:r>
      <w:r>
        <w:rPr>
          <w:rFonts w:ascii="Arial" w:cs="Arial" w:eastAsia="Arial" w:hAnsi="Arial"/>
          <w:sz w:val="16"/>
          <w:szCs w:val="16"/>
          <w:u w:val="single" w:color="auto"/>
          <w:color w:val="auto"/>
        </w:rPr>
        <w:t>Schedule 6.7(i)</w:t>
      </w:r>
      <w:r>
        <w:rPr>
          <w:rFonts w:ascii="Arial" w:cs="Arial" w:eastAsia="Arial" w:hAnsi="Arial"/>
          <w:sz w:val="16"/>
          <w:szCs w:val="16"/>
          <w:color w:val="auto"/>
        </w:rPr>
        <w:t xml:space="preserve">; (ii) Operational IT Services; and (iii) Separation Services pursuant to the Physical IT Carve-out Project Plan which when completed will be attached hereto as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6.7(ii)</w:t>
      </w:r>
      <w:r>
        <w:rPr>
          <w:rFonts w:ascii="Arial" w:cs="Arial" w:eastAsia="Arial" w:hAnsi="Arial"/>
          <w:sz w:val="16"/>
          <w:szCs w:val="16"/>
          <w:color w:val="auto"/>
        </w:rPr>
        <w:t xml:space="preserve">. The purpose of the IT Services is to allow Purchasers to establish their own IT for the Business in due time, allowing Purchasers to continue the uninterrupted operation of the Business during the IT Transition Period until completion of the Physical IT Carve-out. The Operational IT Services shall be provided for a period of eight (8) months following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Purchasers shall have the right, in their sole discretion, to extend such period no more than twice for up to eight (8) months per extension upon written notice to Seller provided that Purchasers remain tenants in Seller’s premises pursuant to the Lease in </w:t>
      </w:r>
      <w:r>
        <w:rPr>
          <w:rFonts w:ascii="Arial" w:cs="Arial" w:eastAsia="Arial" w:hAnsi="Arial"/>
          <w:sz w:val="16"/>
          <w:szCs w:val="16"/>
          <w:u w:val="single" w:color="auto"/>
          <w:color w:val="auto"/>
        </w:rPr>
        <w:t>Schedule 1.8</w:t>
      </w:r>
      <w:r>
        <w:rPr>
          <w:rFonts w:ascii="Arial" w:cs="Arial" w:eastAsia="Arial" w:hAnsi="Arial"/>
          <w:sz w:val="16"/>
          <w:szCs w:val="16"/>
          <w:color w:val="auto"/>
        </w:rPr>
        <w:t xml:space="preserve"> (the aforesaid period and any extension shall hereinafter be referred to as the “</w:t>
      </w:r>
      <w:r>
        <w:rPr>
          <w:rFonts w:ascii="Arial" w:cs="Arial" w:eastAsia="Arial" w:hAnsi="Arial"/>
          <w:sz w:val="16"/>
          <w:szCs w:val="16"/>
          <w:u w:val="single" w:color="auto"/>
          <w:color w:val="auto"/>
        </w:rPr>
        <w:t>IT Transition Period</w:t>
      </w:r>
      <w:r>
        <w:rPr>
          <w:rFonts w:ascii="Arial" w:cs="Arial" w:eastAsia="Arial" w:hAnsi="Arial"/>
          <w:sz w:val="16"/>
          <w:szCs w:val="16"/>
          <w:color w:val="auto"/>
        </w:rPr>
        <w:t xml:space="preserve">”). Notwithstanding the foregoing, Purchasers shall have the right to terminate any or all of the IT Services on thirty (30) days written notice to Seller. All Operational IT Services shall be based on the “services as before” concept, meaning that with regard to quality and service levels, and subject to the terms of this Agreement, the IT Services provided to Purchasers hereunder shall be substantially the same as the corresponding IT services provided to the Business by Seller prior to Closing. Seller will collaborate and cooperate with Purchasers to facilitate timely completion of the Physical IT Carve-out (e.g., providing migration of electronic data files in mutually agreed formats). All IT Services shall be provided in a professional and workmanlike manner and follow generally accepted best practices for IT services. Seller and Purchasers shall each designate in writing an individual to serve as its primary point of contact for all IT Services, which individual shall be responsible for all communication between the Parties related to the same and shall promptly discuss and attempt to resolve technical issues as well as disputes arising out of or relating to this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dispute that cannot be resolved within five (5) business days shall be referred in writing to the respective higher ranking management of each Party. In the event Seller experiences (or expects to experience) any system downtime (including system maintenance activities), or otherwise changes it systems in such a way that affects or may affect any IT Services, Seller shall (a) notify Purchasers in advance in sufficient time to prepare for such activities, (b) minimize the amount of time spent on such activities to the extent possible and (c) treat Purchasers identically with respect to Seller with respect to such downtime. Seller shall maintain a disaster recovery program for the IT Services pertinent to Purchasers consistent with the disaster recovery program in place for such services within Seller’s IT, and, in the event of an emergency situation and the disaster recovery policy is placed into effect, Seller will keep Purchasers informed of the status of recovery plans. Seller shall not subcontract any IT Services without the prior written consent of Purchasers. Purchasers shall not be required to pay for any IT Services other than the Operational IT Services. For the Operational IT Services, Lantiq Germany shall compensate Seller as further described in </w:t>
      </w:r>
      <w:r>
        <w:rPr>
          <w:rFonts w:ascii="Arial" w:cs="Arial" w:eastAsia="Arial" w:hAnsi="Arial"/>
          <w:sz w:val="16"/>
          <w:szCs w:val="16"/>
          <w:u w:val="single" w:color="auto"/>
          <w:color w:val="auto"/>
        </w:rPr>
        <w:t>Schedule 6.7</w:t>
      </w:r>
      <w:r>
        <w:rPr>
          <w:rFonts w:ascii="Arial" w:cs="Arial" w:eastAsia="Arial" w:hAnsi="Arial"/>
          <w:sz w:val="16"/>
          <w:szCs w:val="16"/>
          <w:color w:val="auto"/>
        </w:rPr>
        <w: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u w:val="single" w:color="auto"/>
          <w:color w:val="auto"/>
        </w:rPr>
        <w:t>Article 7</w:t>
      </w:r>
    </w:p>
    <w:p>
      <w:pPr>
        <w:spacing w:after="0" w:line="252" w:lineRule="exact"/>
        <w:rPr>
          <w:sz w:val="20"/>
          <w:szCs w:val="20"/>
          <w:color w:val="auto"/>
        </w:rPr>
      </w:pPr>
    </w:p>
    <w:p>
      <w:pPr>
        <w:ind w:left="3540"/>
        <w:spacing w:after="0"/>
        <w:rPr>
          <w:sz w:val="20"/>
          <w:szCs w:val="20"/>
          <w:color w:val="auto"/>
        </w:rPr>
      </w:pPr>
      <w:r>
        <w:rPr>
          <w:rFonts w:ascii="Arial" w:cs="Arial" w:eastAsia="Arial" w:hAnsi="Arial"/>
          <w:sz w:val="18"/>
          <w:szCs w:val="18"/>
          <w:u w:val="single" w:color="auto"/>
          <w:color w:val="auto"/>
        </w:rPr>
        <w:t>INDEMNIFICATION AND SURVIVAL OF PROVISIONS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Indemnification and Survival of Provisions</w:t>
      </w:r>
      <w:r>
        <w:rPr>
          <w:rFonts w:ascii="Arial" w:cs="Arial" w:eastAsia="Arial" w:hAnsi="Arial"/>
          <w:sz w:val="18"/>
          <w:szCs w:val="18"/>
          <w:color w:val="auto"/>
        </w:rPr>
        <w:t>.</w:t>
      </w:r>
    </w:p>
    <w:p>
      <w:pPr>
        <w:spacing w:after="0" w:line="27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Indemnification by Seller</w:t>
      </w:r>
      <w:r>
        <w:rPr>
          <w:rFonts w:ascii="Arial" w:cs="Arial" w:eastAsia="Arial" w:hAnsi="Arial"/>
          <w:sz w:val="16"/>
          <w:szCs w:val="16"/>
          <w:color w:val="auto"/>
        </w:rPr>
        <w:t>. Seller hereby agrees that from and after the Closing it shall indemnify, defend and hold harmless each Purchaser, their respective Affiliates, and their respective directors, officers, stockholders, partners, members, attorneys, accountants, agents, representatives and employees and their heirs, successors and permitted assigns, each in their capacity as such (the “</w:t>
      </w:r>
      <w:r>
        <w:rPr>
          <w:rFonts w:ascii="Arial" w:cs="Arial" w:eastAsia="Arial" w:hAnsi="Arial"/>
          <w:sz w:val="16"/>
          <w:szCs w:val="16"/>
          <w:u w:val="single" w:color="auto"/>
          <w:color w:val="auto"/>
        </w:rPr>
        <w:t>Purchaser Indemnified Parties</w:t>
      </w:r>
      <w:r>
        <w:rPr>
          <w:rFonts w:ascii="Arial" w:cs="Arial" w:eastAsia="Arial" w:hAnsi="Arial"/>
          <w:sz w:val="16"/>
          <w:szCs w:val="16"/>
          <w:color w:val="auto"/>
        </w:rPr>
        <w:t xml:space="preserve">”) from, against and in respect of any Damages imposed on, sustained, incurred or suffered by, or asserted against, any of the Purchaser Indemnified Parties, whether in respect of Third-Party claims, claims between the parties hereto, or otherwise, directly or indirectly relating to, arising out of or resulting from, (i) any breach of any representation or warranty (ignoring, for purposes of this </w:t>
      </w:r>
      <w:r>
        <w:rPr>
          <w:rFonts w:ascii="Arial" w:cs="Arial" w:eastAsia="Arial" w:hAnsi="Arial"/>
          <w:sz w:val="16"/>
          <w:szCs w:val="16"/>
          <w:u w:val="single" w:color="auto"/>
          <w:color w:val="auto"/>
        </w:rPr>
        <w:t>Section 7.1</w:t>
      </w:r>
      <w:r>
        <w:rPr>
          <w:rFonts w:ascii="Arial" w:cs="Arial" w:eastAsia="Arial" w:hAnsi="Arial"/>
          <w:sz w:val="16"/>
          <w:szCs w:val="16"/>
          <w:color w:val="auto"/>
        </w:rPr>
        <w:t>, any qualification as to materiality contained therein) made by Seller contained in this Agreement or any document delivered pursuant to this Agreement so long as notice thereof is delivered to Seller during the period such representation or warranty survives, (ii) any Excluded Liability or any failure to timely discharge or fulfill any of the Excluded Liabilities, and (iii) any breach of a covenant or agreement of Seller contained in this Agreement or any document delivered pursuant to this Agreement. Damages include any and all claims, costs, losses, expenses, liabilities or other damages, including interest, penalties and reasonable attorneys’ fees and disbursements by reason of or otherwise arising out of any Excluded Liability or any breach by the other party of a representation, warranty or covenant contained in this Agreement (collectively “Damages”).</w:t>
      </w:r>
    </w:p>
    <w:p>
      <w:pPr>
        <w:spacing w:after="0" w:line="22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Indemnification by Purchasers</w:t>
      </w:r>
      <w:r>
        <w:rPr>
          <w:rFonts w:ascii="Arial" w:cs="Arial" w:eastAsia="Arial" w:hAnsi="Arial"/>
          <w:sz w:val="18"/>
          <w:szCs w:val="18"/>
          <w:color w:val="auto"/>
        </w:rPr>
        <w:t xml:space="preserve">. Purchasers hereby agree that from and after the Closing they shall jointly and severally indemnify, defend and hold harmless Seller, its Affiliates, and their respective directors, officers, stockholders, partners, members, attorneys, accountants, agents, representatives and employees and their heirs, successors and permitted assigns, each in their capacity as such (the “ </w:t>
      </w:r>
      <w:r>
        <w:rPr>
          <w:rFonts w:ascii="Arial" w:cs="Arial" w:eastAsia="Arial" w:hAnsi="Arial"/>
          <w:sz w:val="18"/>
          <w:szCs w:val="18"/>
          <w:u w:val="single" w:color="auto"/>
          <w:color w:val="auto"/>
        </w:rPr>
        <w:t>Seller Indemnified Parties</w:t>
      </w:r>
      <w:r>
        <w:rPr>
          <w:rFonts w:ascii="Arial" w:cs="Arial" w:eastAsia="Arial" w:hAnsi="Arial"/>
          <w:sz w:val="18"/>
          <w:szCs w:val="18"/>
          <w:color w:val="auto"/>
        </w:rPr>
        <w:t>” ) from, against and in respect of any Damages imposed on, sustained, incurred or suffered by, or asserted against, any of the Seller Indemnified Parties, whether in respect of Third-Party claims, claims between the parties hereto, or otherwise, directly or indirectly relating to, arising out of or resulting from, (i) any breach of any representation or warranty made by any Purchaser contained in this Agreement or any document delivered pursuant to this Agreement so long as notice thereof is delivered to Seller during the period such representation or warranty survives, (ii) any Assumed Liability or any failure to timely discharge or fulfill any of the Assumed Liabilities, and (iii) any breach of a covenant or agreement of any Purchaser contained in this Agreement or any document delivered pursuant to this Agreement.</w:t>
      </w:r>
    </w:p>
    <w:p>
      <w:pPr>
        <w:spacing w:after="0" w:line="25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Third Party Claims</w:t>
      </w:r>
      <w:r>
        <w:rPr>
          <w:rFonts w:ascii="Arial" w:cs="Arial" w:eastAsia="Arial" w:hAnsi="Arial"/>
          <w:sz w:val="17"/>
          <w:szCs w:val="17"/>
          <w:color w:val="auto"/>
        </w:rPr>
        <w:t>. Each party (the “</w:t>
      </w:r>
      <w:r>
        <w:rPr>
          <w:rFonts w:ascii="Arial" w:cs="Arial" w:eastAsia="Arial" w:hAnsi="Arial"/>
          <w:sz w:val="17"/>
          <w:szCs w:val="17"/>
          <w:u w:val="single" w:color="auto"/>
          <w:color w:val="auto"/>
        </w:rPr>
        <w:t>Indemnified Party</w:t>
      </w:r>
      <w:r>
        <w:rPr>
          <w:rFonts w:ascii="Arial" w:cs="Arial" w:eastAsia="Arial" w:hAnsi="Arial"/>
          <w:sz w:val="17"/>
          <w:szCs w:val="17"/>
          <w:color w:val="auto"/>
        </w:rPr>
        <w:t>”) agrees to notify the other party (the “</w:t>
      </w:r>
      <w:r>
        <w:rPr>
          <w:rFonts w:ascii="Arial" w:cs="Arial" w:eastAsia="Arial" w:hAnsi="Arial"/>
          <w:sz w:val="17"/>
          <w:szCs w:val="17"/>
          <w:u w:val="single" w:color="auto"/>
          <w:color w:val="auto"/>
        </w:rPr>
        <w:t>Indemnifying Party</w:t>
      </w:r>
      <w:r>
        <w:rPr>
          <w:rFonts w:ascii="Arial" w:cs="Arial" w:eastAsia="Arial" w:hAnsi="Arial"/>
          <w:sz w:val="17"/>
          <w:szCs w:val="17"/>
          <w:color w:val="auto"/>
        </w:rPr>
        <w:t>”) of any Damages asserted by third parties that, in the opinion of Indemnified Party, are reasonably likely to give rise to indemnification hereunder (“</w:t>
      </w:r>
      <w:r>
        <w:rPr>
          <w:rFonts w:ascii="Arial" w:cs="Arial" w:eastAsia="Arial" w:hAnsi="Arial"/>
          <w:sz w:val="17"/>
          <w:szCs w:val="17"/>
          <w:u w:val="single" w:color="auto"/>
          <w:color w:val="auto"/>
        </w:rPr>
        <w:t>Third-Party Claims</w:t>
      </w:r>
      <w:r>
        <w:rPr>
          <w:rFonts w:ascii="Arial" w:cs="Arial" w:eastAsia="Arial" w:hAnsi="Arial"/>
          <w:sz w:val="17"/>
          <w:szCs w:val="17"/>
          <w:color w:val="auto"/>
        </w:rPr>
        <w:t xml:space="preserve">”). The Indemnifying Party may (a) participate in the defense of any Third-Party Claim or (b) upon written notice thereof, and written acknowledgement without reservation of rights that the Indemnifying Party shall be solely responsible for such Third Party Claim and all Damages relating thereto (notwithstanding any limitations set forth in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that would otherwise apply with respect thereto, which shall not thereafter be applicable) to the Indemnified Party, assume the defense of any Third-Party Claim, with counsel reasonably satisfactory to the Indemnified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party assuming the defense may not assume such defense if there exists a conflict of interest between the positions of the Indemnified Party and such Party with respect to such Third-Party Claim or if such Third-Party Claim seeks equitable relief against the Indemnified Party. The Indemnified Party agrees that it will not settle any Third-Party Claims without the consent of the Indemnifying Party, which consent shall not be unreasonably withheld or delayed. The Indemnified Party further agrees that if the Indemnifying Party wishes to enter into a settlement with respect to a Third-Party Claim on terms reasonably acceptable to the Indemnified Party, the Indemnified Party will cooperate in such settlement,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settlement includes, as an unconditional term thereof, the giving by the third party to the Indemnified Party and its Affiliates of a release from all liability in respect of such Third-Party Claim.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4" w:name="page75"/>
    <w:bookmarkEnd w:id="74"/>
    <w:p>
      <w:pPr>
        <w:jc w:val="both"/>
        <w:ind w:firstLine="648"/>
        <w:spacing w:after="0" w:line="270"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Claims Procedure</w:t>
      </w:r>
      <w:r>
        <w:rPr>
          <w:rFonts w:ascii="Arial" w:cs="Arial" w:eastAsia="Arial" w:hAnsi="Arial"/>
          <w:sz w:val="17"/>
          <w:szCs w:val="17"/>
          <w:color w:val="auto"/>
        </w:rPr>
        <w:t xml:space="preserve">. If an Indemnified Party wishes to make a claim for indemnification hereunder for Damages that do not result from a Third Party Claim (a “ </w:t>
      </w:r>
      <w:r>
        <w:rPr>
          <w:rFonts w:ascii="Arial" w:cs="Arial" w:eastAsia="Arial" w:hAnsi="Arial"/>
          <w:sz w:val="17"/>
          <w:szCs w:val="17"/>
          <w:u w:val="single" w:color="auto"/>
          <w:color w:val="auto"/>
        </w:rPr>
        <w:t>Direct Claim”</w:t>
      </w:r>
      <w:r>
        <w:rPr>
          <w:rFonts w:ascii="Arial" w:cs="Arial" w:eastAsia="Arial" w:hAnsi="Arial"/>
          <w:sz w:val="17"/>
          <w:szCs w:val="17"/>
          <w:color w:val="auto"/>
        </w:rPr>
        <w:t xml:space="preserve"> ), the Indemnified Party shall notify the Indemnifying Party in writing in general terms of such Direct Claim, the amount or the Indemnified Party’s good faith estimated amount of damages sought thereunder to the extent then ascertainable (which estimate shall not be conclusive of the final amount of such Direct Claim), any other remedy sought thereunder, any relevant time constraints relating thereto, the nature of the misrepresentation, breach of warranty, covenant or obligation to which such item is related, and to the extent known a reasonable summary of the facts underlying the claim. The Indemnifying Party shall have a period of 30 days within which to respond to any Direct Claim. If the Indemnifying Party does not respond within such 30-day period, the Indemnifying Party will be deemed to have accepted such Claim. If the Indemnifying Party rejects all or any part of such Claim, Seller and Purchasers shall attempt in good faith for 30 days to resolve such claim. If no such agreement can be reached through good faith negotiation within 30 days, either Purchasers or Seller may thereafter commence an action.</w:t>
      </w:r>
    </w:p>
    <w:p>
      <w:pPr>
        <w:spacing w:after="0" w:line="23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Survival of Provisions</w:t>
      </w:r>
      <w:r>
        <w:rPr>
          <w:rFonts w:ascii="Arial" w:cs="Arial" w:eastAsia="Arial" w:hAnsi="Arial"/>
          <w:sz w:val="17"/>
          <w:szCs w:val="17"/>
          <w:color w:val="auto"/>
        </w:rPr>
        <w:t xml:space="preserve">. The representations and warranties of the parties contained in this Agreement (other than those representations and warranties set forth in </w:t>
      </w:r>
      <w:r>
        <w:rPr>
          <w:rFonts w:ascii="Arial" w:cs="Arial" w:eastAsia="Arial" w:hAnsi="Arial"/>
          <w:sz w:val="17"/>
          <w:szCs w:val="17"/>
          <w:u w:val="single" w:color="auto"/>
          <w:color w:val="auto"/>
        </w:rPr>
        <w:t>Sections</w:t>
      </w:r>
      <w:r>
        <w:rPr>
          <w:rFonts w:ascii="Arial" w:cs="Arial" w:eastAsia="Arial" w:hAnsi="Arial"/>
          <w:sz w:val="17"/>
          <w:szCs w:val="17"/>
          <w:color w:val="auto"/>
        </w:rPr>
        <w:t xml:space="preserve"> </w:t>
      </w:r>
      <w:r>
        <w:rPr>
          <w:rFonts w:ascii="Arial" w:cs="Arial" w:eastAsia="Arial" w:hAnsi="Arial"/>
          <w:sz w:val="17"/>
          <w:szCs w:val="17"/>
          <w:u w:val="single" w:color="auto"/>
          <w:color w:val="0000EE"/>
        </w:rPr>
        <w:t>4.1</w:t>
      </w:r>
      <w:r>
        <w:rPr>
          <w:rFonts w:ascii="Arial" w:cs="Arial" w:eastAsia="Arial" w:hAnsi="Arial"/>
          <w:sz w:val="17"/>
          <w:szCs w:val="17"/>
          <w:color w:val="auto"/>
        </w:rPr>
        <w:t xml:space="preserve"> through </w:t>
      </w:r>
      <w:r>
        <w:rPr>
          <w:rFonts w:ascii="Arial" w:cs="Arial" w:eastAsia="Arial" w:hAnsi="Arial"/>
          <w:sz w:val="17"/>
          <w:szCs w:val="17"/>
          <w:u w:val="single" w:color="auto"/>
          <w:color w:val="0000EE"/>
        </w:rPr>
        <w:t>4.5</w:t>
      </w:r>
      <w:r>
        <w:rPr>
          <w:rFonts w:ascii="Arial" w:cs="Arial" w:eastAsia="Arial" w:hAnsi="Arial"/>
          <w:sz w:val="17"/>
          <w:szCs w:val="17"/>
          <w:color w:val="auto"/>
        </w:rPr>
        <w:t xml:space="preserve">, inclusive,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0000EE"/>
        </w:rPr>
        <w:t>4.8</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Sections</w:t>
      </w:r>
      <w:r>
        <w:rPr>
          <w:rFonts w:ascii="Arial" w:cs="Arial" w:eastAsia="Arial" w:hAnsi="Arial"/>
          <w:sz w:val="17"/>
          <w:szCs w:val="17"/>
          <w:color w:val="auto"/>
        </w:rPr>
        <w:t xml:space="preserve"> </w:t>
      </w:r>
      <w:r>
        <w:rPr>
          <w:rFonts w:ascii="Arial" w:cs="Arial" w:eastAsia="Arial" w:hAnsi="Arial"/>
          <w:sz w:val="17"/>
          <w:szCs w:val="17"/>
          <w:u w:val="single" w:color="auto"/>
          <w:color w:val="0000EE"/>
        </w:rPr>
        <w:t>4.13(a)</w:t>
      </w:r>
      <w:r>
        <w:rPr>
          <w:rFonts w:ascii="Arial" w:cs="Arial" w:eastAsia="Arial" w:hAnsi="Arial"/>
          <w:sz w:val="17"/>
          <w:szCs w:val="17"/>
          <w:color w:val="auto"/>
        </w:rPr>
        <w:t xml:space="preserve"> and </w:t>
      </w:r>
      <w:r>
        <w:rPr>
          <w:rFonts w:ascii="Arial" w:cs="Arial" w:eastAsia="Arial" w:hAnsi="Arial"/>
          <w:sz w:val="17"/>
          <w:szCs w:val="17"/>
          <w:u w:val="single" w:color="auto"/>
          <w:color w:val="0000EE"/>
        </w:rPr>
        <w:t>(c)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Sections</w:t>
      </w:r>
      <w:r>
        <w:rPr>
          <w:rFonts w:ascii="Arial" w:cs="Arial" w:eastAsia="Arial" w:hAnsi="Arial"/>
          <w:sz w:val="17"/>
          <w:szCs w:val="17"/>
          <w:color w:val="auto"/>
        </w:rPr>
        <w:t xml:space="preserve"> </w:t>
      </w:r>
      <w:r>
        <w:rPr>
          <w:rFonts w:ascii="Arial" w:cs="Arial" w:eastAsia="Arial" w:hAnsi="Arial"/>
          <w:sz w:val="17"/>
          <w:szCs w:val="17"/>
          <w:u w:val="single" w:color="auto"/>
          <w:color w:val="0000EE"/>
        </w:rPr>
        <w:t>5.1</w:t>
      </w:r>
      <w:r>
        <w:rPr>
          <w:rFonts w:ascii="Arial" w:cs="Arial" w:eastAsia="Arial" w:hAnsi="Arial"/>
          <w:sz w:val="17"/>
          <w:szCs w:val="17"/>
          <w:color w:val="auto"/>
        </w:rPr>
        <w:t xml:space="preserve"> through </w:t>
      </w:r>
      <w:r>
        <w:rPr>
          <w:rFonts w:ascii="Arial" w:cs="Arial" w:eastAsia="Arial" w:hAnsi="Arial"/>
          <w:sz w:val="17"/>
          <w:szCs w:val="17"/>
          <w:u w:val="single" w:color="auto"/>
          <w:color w:val="0000EE"/>
        </w:rPr>
        <w:t>5.4</w:t>
      </w:r>
      <w:r>
        <w:rPr>
          <w:rFonts w:ascii="Arial" w:cs="Arial" w:eastAsia="Arial" w:hAnsi="Arial"/>
          <w:sz w:val="17"/>
          <w:szCs w:val="17"/>
          <w:color w:val="auto"/>
        </w:rPr>
        <w:t>, inclusive (collectively, the “</w:t>
      </w:r>
      <w:r>
        <w:rPr>
          <w:rFonts w:ascii="Arial" w:cs="Arial" w:eastAsia="Arial" w:hAnsi="Arial"/>
          <w:sz w:val="17"/>
          <w:szCs w:val="17"/>
          <w:u w:val="single" w:color="auto"/>
          <w:color w:val="auto"/>
        </w:rPr>
        <w:t>Fundamental Representations</w:t>
      </w:r>
      <w:r>
        <w:rPr>
          <w:rFonts w:ascii="Arial" w:cs="Arial" w:eastAsia="Arial" w:hAnsi="Arial"/>
          <w:sz w:val="17"/>
          <w:szCs w:val="17"/>
          <w:color w:val="auto"/>
        </w:rPr>
        <w:t>”), which shall survive indefinitely without limitation) and the right to make a claim for indemnification with respect to any representation or warranty contained in this Agreement (other than any Fundamental Representation) shall survive for a period of eighteen (18) months following the Closing. All covenants and agreements of the parties contained in this Agreement shall survive indefinitely without limitation.</w:t>
      </w:r>
    </w:p>
    <w:p>
      <w:pPr>
        <w:spacing w:after="0" w:line="22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u w:val="single" w:color="auto"/>
          <w:color w:val="auto"/>
        </w:rPr>
        <w:t>Limitation of Liability</w:t>
      </w:r>
      <w:r>
        <w:rPr>
          <w:rFonts w:ascii="Arial" w:cs="Arial" w:eastAsia="Arial" w:hAnsi="Arial"/>
          <w:sz w:val="17"/>
          <w:szCs w:val="17"/>
          <w:color w:val="auto"/>
        </w:rPr>
        <w:t>. Each of Seller’s and Purchasers’ aggregate liability with respect to the breach of a representation or warranty contained in this Agreement (other than any Fundamental Representation) shall be strictly limited to an amount equal to twenty-five percent (25%) of the Purchase Price and each of Seller’s and Purchasers’ aggregate liability with respect to the breach of a Fundamental Representation shall be strictly limited to an amount equal to the Purchase Price (as applicable, the “</w:t>
      </w:r>
      <w:r>
        <w:rPr>
          <w:rFonts w:ascii="Arial" w:cs="Arial" w:eastAsia="Arial" w:hAnsi="Arial"/>
          <w:sz w:val="17"/>
          <w:szCs w:val="17"/>
          <w:u w:val="single" w:color="auto"/>
          <w:color w:val="auto"/>
        </w:rPr>
        <w:t>Cap</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herein to the contrary, no Indemnifying Party shall have any liability to an Indemnified Party with respect to the breach of a representation or warranty contained in this Agreement unless the aggregate amount of all losses, damages, penalties, Taxes, costs, expenses or other liabilities of any kind or nature, whether or not arising out of a Third-Party Claim (collectively, “</w:t>
      </w:r>
      <w:r>
        <w:rPr>
          <w:rFonts w:ascii="Arial" w:cs="Arial" w:eastAsia="Arial" w:hAnsi="Arial"/>
          <w:sz w:val="17"/>
          <w:szCs w:val="17"/>
          <w:u w:val="single" w:color="auto"/>
          <w:color w:val="auto"/>
        </w:rPr>
        <w:t>Losses</w:t>
      </w:r>
      <w:r>
        <w:rPr>
          <w:rFonts w:ascii="Arial" w:cs="Arial" w:eastAsia="Arial" w:hAnsi="Arial"/>
          <w:sz w:val="17"/>
          <w:szCs w:val="17"/>
          <w:color w:val="auto"/>
        </w:rPr>
        <w:t>”), incurred by such Indemnified Party as a result of all such breaches cumulatively exceeds $50,000, in which case the Indemnifying Party shall, subject to the Cap, be liable for all such Losses in excess of $50,000.</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AND WAIVER</w:t>
      </w:r>
    </w:p>
    <w:p>
      <w:pPr>
        <w:spacing w:after="0" w:line="27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by the parties hereto at any time by execution of an instrument in writing signed on behalf of each of the parties hereto.</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Extension; Waiver</w:t>
      </w:r>
      <w:r>
        <w:rPr>
          <w:rFonts w:ascii="Arial" w:cs="Arial" w:eastAsia="Arial" w:hAnsi="Arial"/>
          <w:sz w:val="18"/>
          <w:szCs w:val="18"/>
          <w:color w:val="auto"/>
        </w:rPr>
        <w:t>. At any time prior to the Closing Date, Purchasers and Seller may, to the extent legally allowed and in writing, (a) extend the time for the performance of any of the obligations of the other party hereto, (b) waive any inaccuracies in the representations and warranties made to such party contained herein or in any document delivered pursuant hereto, and (c) waive compliance with any of the agreements, covenants or conditions for the benefit of such party contained herein. Any agreement on the part of a party hereto to any such extension or waiver shall be valid only if set forth in an instrument in writing signed on behalf of such party.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u w:val="single" w:color="auto"/>
          <w:color w:val="auto"/>
        </w:rPr>
        <w:t>Article 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TERMINATION</w:t>
      </w:r>
    </w:p>
    <w:p>
      <w:pPr>
        <w:spacing w:after="0" w:line="27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at any time prior to the Closing:</w:t>
      </w:r>
    </w:p>
    <w:p>
      <w:pPr>
        <w:spacing w:after="0" w:line="279" w:lineRule="exact"/>
        <w:rPr>
          <w:sz w:val="20"/>
          <w:szCs w:val="20"/>
          <w:color w:val="auto"/>
        </w:rPr>
      </w:pPr>
    </w:p>
    <w:p>
      <w:pPr>
        <w:ind w:left="1720" w:hanging="415"/>
        <w:spacing w:after="0"/>
        <w:tabs>
          <w:tab w:leader="none" w:pos="1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by mutual written consent of Seller, on the one hand, and Purchasers, on the other hand;</w:t>
      </w:r>
    </w:p>
    <w:p>
      <w:pPr>
        <w:spacing w:after="0" w:line="279" w:lineRule="exact"/>
        <w:rPr>
          <w:rFonts w:ascii="Arial" w:cs="Arial" w:eastAsia="Arial" w:hAnsi="Arial"/>
          <w:sz w:val="18"/>
          <w:szCs w:val="18"/>
          <w:color w:val="auto"/>
        </w:rPr>
      </w:pPr>
    </w:p>
    <w:p>
      <w:pPr>
        <w:jc w:val="both"/>
        <w:ind w:firstLine="1305"/>
        <w:spacing w:after="0" w:line="264" w:lineRule="auto"/>
        <w:tabs>
          <w:tab w:leader="none" w:pos="1722"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by either Seller or Purchasers if the Closing shall not have occurred on or before January 31, 2009;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neither Seller nor Purchasers shall be entitled to terminate this Agreement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0000EE"/>
        </w:rPr>
        <w:t>9.1(b)</w:t>
      </w:r>
      <w:r>
        <w:rPr>
          <w:rFonts w:ascii="Arial" w:cs="Arial" w:eastAsia="Arial" w:hAnsi="Arial"/>
          <w:sz w:val="18"/>
          <w:szCs w:val="18"/>
          <w:color w:val="auto"/>
        </w:rPr>
        <w:t xml:space="preserve"> if such party’s or parties’ breach of this Agreement has prevented the consummation of the transactions contemplated hereby at or prior to such time;</w:t>
      </w:r>
    </w:p>
    <w:p>
      <w:pPr>
        <w:spacing w:after="0" w:line="235" w:lineRule="exact"/>
        <w:rPr>
          <w:rFonts w:ascii="Arial" w:cs="Arial" w:eastAsia="Arial" w:hAnsi="Arial"/>
          <w:sz w:val="18"/>
          <w:szCs w:val="18"/>
          <w:color w:val="auto"/>
        </w:rPr>
      </w:pPr>
    </w:p>
    <w:p>
      <w:pPr>
        <w:jc w:val="both"/>
        <w:ind w:firstLine="1305"/>
        <w:spacing w:after="0" w:line="257" w:lineRule="auto"/>
        <w:tabs>
          <w:tab w:leader="none" w:pos="1739" w:val="left"/>
        </w:tabs>
        <w:numPr>
          <w:ilvl w:val="0"/>
          <w:numId w:val="55"/>
        </w:numPr>
        <w:rPr>
          <w:rFonts w:ascii="Arial" w:cs="Arial" w:eastAsia="Arial" w:hAnsi="Arial"/>
          <w:sz w:val="18"/>
          <w:szCs w:val="18"/>
          <w:color w:val="auto"/>
        </w:rPr>
      </w:pPr>
      <w:r>
        <w:rPr>
          <w:rFonts w:ascii="Arial" w:cs="Arial" w:eastAsia="Arial" w:hAnsi="Arial"/>
          <w:sz w:val="18"/>
          <w:szCs w:val="18"/>
          <w:color w:val="auto"/>
        </w:rPr>
        <w:t>by Seller, upon written notice to Purchasers, if there has been a material misrepresentation or material breach on the part of a Purchaser of any of its representations, warranties or covenants set forth in this Agreement (and, if capable of cure, such misrepresentation or breach is not cured to the reasonable satisfaction of Seller within five (5) business days after Seller gives Purchasers written notice thereof) or if events have occurred which have made it impossible to satisfy a condition precedent to Seller’s obligations to consummate the transactions contemplated hereby unless Seller’s breach of this Agreement has caused the condition to be unsatisfied; or</w:t>
      </w:r>
    </w:p>
    <w:p>
      <w:pPr>
        <w:spacing w:after="0" w:line="242" w:lineRule="exact"/>
        <w:rPr>
          <w:rFonts w:ascii="Arial" w:cs="Arial" w:eastAsia="Arial" w:hAnsi="Arial"/>
          <w:sz w:val="18"/>
          <w:szCs w:val="18"/>
          <w:color w:val="auto"/>
        </w:rPr>
      </w:pPr>
    </w:p>
    <w:p>
      <w:pPr>
        <w:jc w:val="both"/>
        <w:ind w:firstLine="1305"/>
        <w:spacing w:after="0" w:line="257" w:lineRule="auto"/>
        <w:tabs>
          <w:tab w:leader="none" w:pos="1722" w:val="left"/>
        </w:tabs>
        <w:numPr>
          <w:ilvl w:val="0"/>
          <w:numId w:val="55"/>
        </w:numPr>
        <w:rPr>
          <w:rFonts w:ascii="Arial" w:cs="Arial" w:eastAsia="Arial" w:hAnsi="Arial"/>
          <w:sz w:val="18"/>
          <w:szCs w:val="18"/>
          <w:color w:val="auto"/>
        </w:rPr>
      </w:pPr>
      <w:r>
        <w:rPr>
          <w:rFonts w:ascii="Arial" w:cs="Arial" w:eastAsia="Arial" w:hAnsi="Arial"/>
          <w:sz w:val="18"/>
          <w:szCs w:val="18"/>
          <w:color w:val="auto"/>
        </w:rPr>
        <w:t>by Purchasers, upon written notice to Seller, if there has been a material misrepresentation or material breach on the part of Seller of any of their representations, warranties or covenants set forth in this Agreement (and, if capable of cure, such misrepresentation or breach is not cured to the reasonable satisfaction of Purchasers within five (5) business days after Purchasers give Seller written notice thereof) or if events have occurred which have made it impossible to satisfy a condition precedent to Purchasers’ obligations to consummate the transactions contemplated hereby unless a Purchaser’s breach of this Agreement has caused the condition to be unsatisfied.</w:t>
      </w:r>
    </w:p>
    <w:p>
      <w:pPr>
        <w:spacing w:after="0" w:line="24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xml:space="preserve">. In the event of termination of this Agreement as provided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0000EE"/>
        </w:rPr>
        <w:t>9.1</w:t>
      </w:r>
      <w:r>
        <w:rPr>
          <w:rFonts w:ascii="Arial" w:cs="Arial" w:eastAsia="Arial" w:hAnsi="Arial"/>
          <w:sz w:val="18"/>
          <w:szCs w:val="18"/>
          <w:color w:val="auto"/>
        </w:rPr>
        <w:t xml:space="preserve">, this Agreement shall forthwith become void and there shall be no liability on the part of any party to any other party or its stockholders, members, Affiliates, directors or officers under this Agreement, except for the provisions of </w:t>
      </w:r>
      <w:r>
        <w:rPr>
          <w:rFonts w:ascii="Arial" w:cs="Arial" w:eastAsia="Arial" w:hAnsi="Arial"/>
          <w:sz w:val="18"/>
          <w:szCs w:val="18"/>
          <w:u w:val="single" w:color="auto"/>
          <w:color w:val="auto"/>
        </w:rPr>
        <w:t>Section 6.4(d)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shall continue in full force and effect and except that nothing herein shall relieve any party from liability for any breach of this Agreement prior to such termination.</w:t>
      </w:r>
    </w:p>
    <w:p>
      <w:pPr>
        <w:spacing w:after="0" w:line="24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Delay in Closing</w:t>
      </w:r>
      <w:r>
        <w:rPr>
          <w:rFonts w:ascii="Arial" w:cs="Arial" w:eastAsia="Arial" w:hAnsi="Arial"/>
          <w:sz w:val="17"/>
          <w:szCs w:val="17"/>
          <w:color w:val="auto"/>
        </w:rPr>
        <w:t xml:space="preserve">. In the event that this Agreement has not been terminated and the Closing shall not have occurred by the later of (i) December 1, 2009 and (ii) the fifth (5th) business day following the satisfaction or waiver of all of the conditions set forth in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(other than those that by their terms are to be satisfied or waived at the Closing and the condition set forth in </w:t>
      </w:r>
      <w:r>
        <w:rPr>
          <w:rFonts w:ascii="Arial" w:cs="Arial" w:eastAsia="Arial" w:hAnsi="Arial"/>
          <w:sz w:val="17"/>
          <w:szCs w:val="17"/>
          <w:u w:val="single" w:color="auto"/>
          <w:color w:val="auto"/>
        </w:rPr>
        <w:t>Section 2.1(f)</w:t>
      </w:r>
      <w:r>
        <w:rPr>
          <w:rFonts w:ascii="Arial" w:cs="Arial" w:eastAsia="Arial" w:hAnsi="Arial"/>
          <w:sz w:val="17"/>
          <w:szCs w:val="17"/>
          <w:color w:val="auto"/>
        </w:rPr>
        <w:t xml:space="preserve">), and the failure to so close is not caused in whole or in part by Seller, Purchasers agree to reimburse Seller for Seller’s costs to carry on Seller’s G.hn engineering portion of the Business in substantially the same manner as presently conducted from such date until such time that the Closing shall occur or this Agreement is terminated. Seller and Purchasers agree that Purchasers shall pay to Seller a monthly amount equal to $306,243 based on twenty one (21) full-time Specified Employees at an established man rate per month of $14,583. Upon the earlier of the Closing or the termination of this Agreement, Seller shall provide an invoice to Purchasers setting forth the aggregate amount of the fees due to Seller through such date under this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with the monthly amount for the month in which the Closing occurs or this Agreement is terminated being pro rated based upon the number of days that have elapsed during such month from the commencement of Purchasers’ reimbursement obligation under this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until the Closing Date or the date of the termination of this Agreement, and Purchasers shall pay the invoice upon receipt.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u w:val="single" w:color="auto"/>
          <w:color w:val="auto"/>
        </w:rPr>
        <w:t>Article 10</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inure to the benefit of, and be enforceable by the legal representatives, agents, successors and assigns of the parties.</w:t>
      </w:r>
    </w:p>
    <w:p>
      <w:pPr>
        <w:spacing w:after="0" w:line="2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Expenses</w:t>
      </w:r>
      <w:r>
        <w:rPr>
          <w:rFonts w:ascii="Arial" w:cs="Arial" w:eastAsia="Arial" w:hAnsi="Arial"/>
          <w:sz w:val="17"/>
          <w:szCs w:val="17"/>
          <w:color w:val="auto"/>
        </w:rPr>
        <w:t>. Each party will be responsible for its own fees, costs and expenses, including consultant, financial advisor, broker, account, counsel and other advisory fees, costs and expenses incurred in connection with the preparation, negotiation, execution, delivery or performance of this Agreement and the closing of the transactions contemplated hereby, whether or not the transactions contemplated hereby shall be consummated.</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deemed given if delivered by hand, sent by facsimile transmission with confirmation of receipt, sent via a reputable overnight courier service, or mailed by registered or certified mail (postage prepaid and return receipt requested) to the parties at the following addresses (or at such other address for a party as shall be specified by like notice), and shall be deemed given on the date on which delivered by hand or otherwise on the date of receipt as confirmed: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Seller: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Aware,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 Middlesex Turnpike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Bedford, Massachusetts 01730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(781) 276-4001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Purchasers: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Lantiq Broadband Holdco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640 N. McCarthy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Milpitas, CA 95035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Imran Hajimusa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(408) 503-1528</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Lantiq Deutschland GmbH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 Campeon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85579 Neubiberg, 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Guenther Stang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49 89 234 9552411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with copies to: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Golden Gate Capital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Embarcadero Center, 39th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John Knoll and Felix Lo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(415) 983-2701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555 California Street, 27th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Stephen D. Oetgen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(415) 439-1500</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7" w:name="page78"/>
    <w:bookmarkEnd w:id="77"/>
    <w:p>
      <w:pPr>
        <w:jc w:val="both"/>
        <w:ind w:firstLine="648"/>
        <w:spacing w:after="0" w:line="264"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other documents referred to herein or delivered pursuant hereto embody the entire agreement and understanding among the parties hereto with respect to the subject matter hereof and supersede all prior agreements and understandings relating to such subject matter.</w:t>
      </w:r>
    </w:p>
    <w:p>
      <w:pPr>
        <w:spacing w:after="0" w:line="23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several counterparts (including by means of telecopied, facsimile or portable data format (PDF) signature pages), each of which shall be deemed an original, and all of which together shall constitute one and the same agreement.</w:t>
      </w:r>
    </w:p>
    <w:p>
      <w:pPr>
        <w:spacing w:after="0" w:line="20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clause or provision of this Agreement is illegal, invalid or unenforceable under present or future laws, then and in that event, it is the intention of the parties hereto that the remainder of this Agreement shall not be affected thereby.</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interpreted, and enforced in accordance with the laws of the State of New York, without regard to its principles of conflicts of laws.</w:t>
      </w:r>
    </w:p>
    <w:p>
      <w:pPr>
        <w:spacing w:after="0" w:line="2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Binding Effect; Assignability</w:t>
      </w:r>
      <w:r>
        <w:rPr>
          <w:rFonts w:ascii="Arial" w:cs="Arial" w:eastAsia="Arial" w:hAnsi="Arial"/>
          <w:sz w:val="18"/>
          <w:szCs w:val="18"/>
          <w:color w:val="auto"/>
        </w:rPr>
        <w:t xml:space="preserve">. This Agreement shall be binding upon and inure to the benefit of the parties hereto and their respective successors and assigns. This Agreement is not intended to confer upon any person other than the parties hereto (and such parties’ respective successors and assigns) any rights or remedies hereunder, except as otherwise expressly provided herein. Neither this Agreement nor any of the rights and obligations of the parties hereunder shall be assigned or delegated, whether by operation of law or otherwise, without the written consent of both parties 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 each party hereto may assign this Agreement in whole or in part without the prior written consent of the other but upon written notice in connection with an acquisition of all or substantially all of the assets of the such party and (ii) Seller may assign this Agreement in whole or in part without the prior written consent of Purchasers but upon written notice in connection with an acquisition of Seller’s test and diagnostic business (it being agreed and acknowledged that no such assignment shall relieve Seller of any of its obligations or any other liability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in no event may Seller assign the test and diagnostic rights received from Purchasers under this Agreement or the DSL License Agreement to a Person who is a competitor of Purchaser.</w:t>
      </w:r>
    </w:p>
    <w:p>
      <w:pPr>
        <w:spacing w:after="0" w:line="24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10.9 </w:t>
      </w:r>
      <w:r>
        <w:rPr>
          <w:rFonts w:ascii="Arial" w:cs="Arial" w:eastAsia="Arial" w:hAnsi="Arial"/>
          <w:sz w:val="17"/>
          <w:szCs w:val="17"/>
          <w:u w:val="single" w:color="auto"/>
          <w:color w:val="auto"/>
        </w:rPr>
        <w:t>Confidentiality Regarding Agreement</w:t>
      </w:r>
      <w:r>
        <w:rPr>
          <w:rFonts w:ascii="Arial" w:cs="Arial" w:eastAsia="Arial" w:hAnsi="Arial"/>
          <w:sz w:val="17"/>
          <w:szCs w:val="17"/>
          <w:color w:val="auto"/>
        </w:rPr>
        <w:t xml:space="preserve">. The parties agree that any disclosure of the existence of or any terms of this Agreement or the relationship between the parties shall be made only with the prior written agreement of both parties. An exception to the above is allowed if either party is required under United States Securities and Exchange Commission regulations or other applicable law to disclose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party so required to disclose this Agreement must first consult with the other parties hereto with respect to the form and substance of such disclosure.</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10.10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Seller and Purchasers acknowledge and agree that in the event of a breach by the other party (or any of its Affiliates) of any of this Agreement, monetary damages shall not constitute a sufficient remedy. Accordingly, Seller and Purchasers agree that Seller and Purchasers shall have the right, in addition to any other rights and remedies existing in its favor, to enforce its rights and Seller’s and/or Purchasers’ obligations hereunder not only be an action or actions for damages but also by an action or actions for specific performance, injunctive and/or other equitable relief.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u w:val="single" w:color="auto"/>
          <w:color w:val="auto"/>
        </w:rPr>
        <w:t>Article 11</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CERTAIN DEFINITIONS</w:t>
      </w:r>
    </w:p>
    <w:p>
      <w:pPr>
        <w:spacing w:after="0" w:line="27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u w:val="single" w:color="auto"/>
          <w:color w:val="auto"/>
        </w:rPr>
        <w:t>Certain Definitions</w:t>
      </w:r>
      <w:r>
        <w:rPr>
          <w:rFonts w:ascii="Arial" w:cs="Arial" w:eastAsia="Arial" w:hAnsi="Arial"/>
          <w:sz w:val="16"/>
          <w:szCs w:val="16"/>
          <w:color w:val="auto"/>
        </w:rPr>
        <w:t>. As used in this Agreement, the following capitalized terms shall have the following meanings: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ADSL2</w:t>
      </w:r>
      <w:r>
        <w:rPr>
          <w:rFonts w:ascii="Arial" w:cs="Arial" w:eastAsia="Arial" w:hAnsi="Arial"/>
          <w:sz w:val="18"/>
          <w:szCs w:val="18"/>
          <w:color w:val="auto"/>
        </w:rPr>
        <w:t>” shall mean the high speed asymmetric DMT based DSL technology standardized by the International Telecommunications Union and referred to as G.dmt.bis (which is the successor to G.dmt, also known as G.992.1) including G.handshake (also known as ITU-T G.994.1), and G.lite.bis (also know as “ITU-T G.992.4).</w:t>
      </w:r>
    </w:p>
    <w:p>
      <w:pPr>
        <w:spacing w:after="0" w:line="208"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ADSL2+</w:t>
      </w:r>
      <w:r>
        <w:rPr>
          <w:rFonts w:ascii="Arial" w:cs="Arial" w:eastAsia="Arial" w:hAnsi="Arial"/>
          <w:sz w:val="18"/>
          <w:szCs w:val="18"/>
          <w:color w:val="auto"/>
        </w:rPr>
        <w:t>” shall mean the higher data rate ADSL standard standardized by the International Telecommunications Union as a 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member of the ADSL2 family.</w:t>
      </w:r>
    </w:p>
    <w:p>
      <w:pPr>
        <w:spacing w:after="0" w:line="2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ADSL 128</w:t>
      </w:r>
      <w:r>
        <w:rPr>
          <w:rFonts w:ascii="Arial" w:cs="Arial" w:eastAsia="Arial" w:hAnsi="Arial"/>
          <w:sz w:val="18"/>
          <w:szCs w:val="18"/>
          <w:color w:val="auto"/>
        </w:rPr>
        <w:t>” shall mean the asymmetric DSL technology which is designed to work with Purchasers’ (or Purchasers’ Affiliates’) 128 kHz analog components.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ADSL Products</w:t>
      </w:r>
      <w:r>
        <w:rPr>
          <w:rFonts w:ascii="Arial" w:cs="Arial" w:eastAsia="Arial" w:hAnsi="Arial"/>
          <w:sz w:val="18"/>
          <w:szCs w:val="18"/>
          <w:color w:val="auto"/>
        </w:rPr>
        <w:t xml:space="preserve">” shall have the meaning as set forth in </w:t>
      </w:r>
      <w:r>
        <w:rPr>
          <w:rFonts w:ascii="Arial" w:cs="Arial" w:eastAsia="Arial" w:hAnsi="Arial"/>
          <w:sz w:val="18"/>
          <w:szCs w:val="18"/>
          <w:u w:val="single" w:color="auto"/>
          <w:color w:val="auto"/>
        </w:rPr>
        <w:t>Section 1.41</w:t>
      </w:r>
      <w:r>
        <w:rPr>
          <w:rFonts w:ascii="Arial" w:cs="Arial" w:eastAsia="Arial" w:hAnsi="Arial"/>
          <w:sz w:val="18"/>
          <w:szCs w:val="18"/>
          <w:color w:val="auto"/>
        </w:rPr>
        <w:t xml:space="preserve"> of the DSL License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Foreign National Employees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0000EE"/>
        </w:rPr>
        <w:t>6.6(d)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-10160</wp:posOffset>
            </wp:positionV>
            <wp:extent cx="285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3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xml:space="preserve">” shall mean, with respect to any Person, any other Person that as of the date of the Agreement or as of any subsequent date, directly or indirectly, through one or more intermediaries, controls, is controlled by or is under common control with, such specified Person. For the purposes of this definition, “control” (including with correlative meanings, the terms “controlling,” “controlled by,” and “under common control with”) as applied to any Person, means the possession, directly or indirectly, of the power to direct or cause the direction of the management and policies of that Person, whether through ownership of voting securities or by contract or otherwise. With respect to Purchasers, the term “Affiliate” shall not include Qimonda AG or any entity controlled by Qimonda AG. With respect to Seller, the term “Affiliate”, solely when used in </w:t>
      </w:r>
      <w:r>
        <w:rPr>
          <w:rFonts w:ascii="Arial" w:cs="Arial" w:eastAsia="Arial" w:hAnsi="Arial"/>
          <w:sz w:val="17"/>
          <w:szCs w:val="17"/>
          <w:u w:val="single" w:color="auto"/>
          <w:color w:val="auto"/>
        </w:rPr>
        <w:t>Sections 6.4(a)</w:t>
      </w:r>
      <w:r>
        <w:rPr>
          <w:rFonts w:ascii="Arial" w:cs="Arial" w:eastAsia="Arial" w:hAnsi="Arial"/>
          <w:sz w:val="17"/>
          <w:szCs w:val="17"/>
          <w:color w:val="auto"/>
        </w:rPr>
        <w:t xml:space="preserve">, </w:t>
      </w:r>
      <w:r>
        <w:rPr>
          <w:rFonts w:ascii="Arial" w:cs="Arial" w:eastAsia="Arial" w:hAnsi="Arial"/>
          <w:sz w:val="17"/>
          <w:szCs w:val="17"/>
          <w:u w:val="single" w:color="auto"/>
          <w:color w:val="auto"/>
        </w:rPr>
        <w:t>6.4(b)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6.4(c)</w:t>
      </w:r>
      <w:r>
        <w:rPr>
          <w:rFonts w:ascii="Arial" w:cs="Arial" w:eastAsia="Arial" w:hAnsi="Arial"/>
          <w:sz w:val="17"/>
          <w:szCs w:val="17"/>
          <w:color w:val="auto"/>
        </w:rPr>
        <w:t>, shall not include any non-employee director or any owner of ten percent (10%) or more of Seller’s capital stock.</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mean this Asset Purchase Agreement, including (unless the context otherwise requires) the Schedules and the certificates and instruments delivered in connection herewith, or incorporated by reference, as the same may be amended or supplemented from time to time in accordance with the terms hereof.</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Assumed Liabilities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color w:val="0000EE"/>
        </w:rPr>
        <w:t>1.3</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3026410</wp:posOffset>
            </wp:positionH>
            <wp:positionV relativeFrom="paragraph">
              <wp:posOffset>-10160</wp:posOffset>
            </wp:positionV>
            <wp:extent cx="17145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w:t>
      </w:r>
      <w:r>
        <w:rPr>
          <w:rFonts w:ascii="Arial" w:cs="Arial" w:eastAsia="Arial" w:hAnsi="Arial"/>
          <w:sz w:val="18"/>
          <w:szCs w:val="18"/>
          <w:color w:val="auto"/>
        </w:rPr>
        <w:t>” shall have the meaning set forth in the Recitals.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7.6</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1.10</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1.10</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COBRA</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0000EE"/>
        </w:rPr>
        <w:t>6.6(b)</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Business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0000EE"/>
        </w:rPr>
        <w:t>6.4(a)</w:t>
      </w:r>
      <w:r>
        <w:rPr>
          <w:rFonts w:ascii="Arial" w:cs="Arial" w:eastAsia="Arial" w:hAnsi="Arial"/>
          <w:sz w:val="18"/>
          <w:szCs w:val="18"/>
          <w:color w:val="auto"/>
        </w:rPr>
        <w: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shall mean any legally binding agreement, lease, sublease, evidence of indebtedness, mortgage, indenture, license, sublicense, purchase order, security agreement or other contract, agreement, instrument or business arrangement (whether written or oral).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Damages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0000EE"/>
        </w:rPr>
        <w:t>7.1</w:t>
      </w:r>
      <w:r>
        <w:rPr>
          <w:rFonts w:ascii="Arial" w:cs="Arial" w:eastAsia="Arial" w:hAnsi="Arial"/>
          <w:sz w:val="18"/>
          <w:szCs w:val="18"/>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Derivatives/Extensions</w:t>
      </w:r>
      <w:r>
        <w:rPr>
          <w:rFonts w:ascii="Arial" w:cs="Arial" w:eastAsia="Arial" w:hAnsi="Arial"/>
          <w:sz w:val="18"/>
          <w:szCs w:val="18"/>
          <w:color w:val="auto"/>
        </w:rPr>
        <w:t>” shall mean any modification or enhancement of an xDSL Standard.</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Digital Subscriber Line</w:t>
      </w:r>
      <w:r>
        <w:rPr>
          <w:rFonts w:ascii="Arial" w:cs="Arial" w:eastAsia="Arial" w:hAnsi="Arial"/>
          <w:sz w:val="18"/>
          <w:szCs w:val="18"/>
          <w:color w:val="auto"/>
        </w:rPr>
        <w:t>” (“DSL”) shall mean the technology that enables discrete multitone (DMT) broadband communications over twisted pair telephone lines.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 Claim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0000EE"/>
        </w:rPr>
        <w:t>7.4</w:t>
      </w:r>
      <w:r>
        <w:rPr>
          <w:rFonts w:ascii="Arial" w:cs="Arial" w:eastAsia="Arial" w:hAnsi="Arial"/>
          <w:sz w:val="18"/>
          <w:szCs w:val="18"/>
          <w:color w:val="auto"/>
        </w:rPr>
        <w:t>.</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DSL License Agreement</w:t>
      </w:r>
      <w:r>
        <w:rPr>
          <w:rFonts w:ascii="Arial" w:cs="Arial" w:eastAsia="Arial" w:hAnsi="Arial"/>
          <w:sz w:val="17"/>
          <w:szCs w:val="17"/>
          <w:color w:val="auto"/>
        </w:rPr>
        <w:t xml:space="preserve">” shall mean that certain License Agreement entered into between Infineon Technologies AG and Seller with an effective date of October 1, 2007, as amended and restated in connection with the transactions hereby in the form attached hereto in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0000EE"/>
        </w:rPr>
        <w:t>1.5</w:t>
      </w:r>
      <w:r>
        <w:rPr>
          <w:rFonts w:ascii="Arial" w:cs="Arial" w:eastAsia="Arial" w:hAnsi="Arial"/>
          <w:sz w:val="17"/>
          <w:szCs w:val="17"/>
          <w:color w:val="auto"/>
        </w:rPr>
        <w:t>.</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DSL Lite</w:t>
      </w:r>
      <w:r>
        <w:rPr>
          <w:rFonts w:ascii="Arial" w:cs="Arial" w:eastAsia="Arial" w:hAnsi="Arial"/>
          <w:sz w:val="18"/>
          <w:szCs w:val="18"/>
          <w:color w:val="auto"/>
        </w:rPr>
        <w:t>” shall mean medium speed symmetric and asymmetric DMT based DSL technologies according to the Standard known as “ADSL Lite” developed by the International Telecommunications Union.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DSL Technology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of the DSL License Agreement.</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Plan</w:t>
      </w:r>
      <w:r>
        <w:rPr>
          <w:rFonts w:ascii="Arial" w:cs="Arial" w:eastAsia="Arial" w:hAnsi="Arial"/>
          <w:sz w:val="18"/>
          <w:szCs w:val="18"/>
          <w:color w:val="auto"/>
        </w:rPr>
        <w:t>” shall mean each written plan, program or policy providing for compensation, severance, termination pay, pension benefits, retirement benefits, deferred compensation, performance awards, stock or stock-related awards, fringe benefits (including health, dental, vision, life, disability, sabbatical, accidental death and dismemberment or other insurance benefits), or other employee benefits or remuneration of any kind, whether funded or unfunded, including each “employee benefit plan,” within the meaning of Section 3(3) of ERISA, which is or has been maintained by Seller for the benefit of any of its employees.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shall mean the Employee Retirement Income Security Act of 1974, as amended.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Assets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color w:val="0000EE"/>
        </w:rPr>
        <w:t>1.2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-10160</wp:posOffset>
            </wp:positionV>
            <wp:extent cx="17145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Liabilities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1.4</w:t>
      </w:r>
      <w:r>
        <w:rPr>
          <w:rFonts w:ascii="Arial" w:cs="Arial" w:eastAsia="Arial" w:hAnsi="Arial"/>
          <w:sz w:val="18"/>
          <w:szCs w:val="18"/>
          <w:color w:val="auto"/>
        </w:rPr>
        <w: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Full Rate ADSL</w:t>
      </w:r>
      <w:r>
        <w:rPr>
          <w:rFonts w:ascii="Arial" w:cs="Arial" w:eastAsia="Arial" w:hAnsi="Arial"/>
          <w:sz w:val="18"/>
          <w:szCs w:val="18"/>
          <w:color w:val="auto"/>
        </w:rPr>
        <w:t>” shall mean high speed symmetric and asymmetric DMT based DSL technologies according to the ANSI Standard T1E1, 4 T 413 or ITU G.992.1.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G.hn</w:t>
      </w:r>
      <w:r>
        <w:rPr>
          <w:rFonts w:ascii="Arial" w:cs="Arial" w:eastAsia="Arial" w:hAnsi="Arial"/>
          <w:sz w:val="18"/>
          <w:szCs w:val="18"/>
          <w:color w:val="auto"/>
        </w:rPr>
        <w:t>” shall mean the Home Networking currently being standardized at the ITU.</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Entity</w:t>
      </w:r>
      <w:r>
        <w:rPr>
          <w:rFonts w:ascii="Arial" w:cs="Arial" w:eastAsia="Arial" w:hAnsi="Arial"/>
          <w:sz w:val="17"/>
          <w:szCs w:val="17"/>
          <w:color w:val="auto"/>
        </w:rPr>
        <w:t>” shall mean any domestic or foreign government (federal, state, provincial, municipal, local or otherwise), any governmental body, agency, authority, instrumentality, subdivision, court, or commission, or any other governmental authority or instrumentality, or any quasi-government or private body exercising an regulatory, taxing, importing or other governmental or quasi-governmental authority.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Home Networking</w:t>
      </w:r>
      <w:r>
        <w:rPr>
          <w:rFonts w:ascii="Arial" w:cs="Arial" w:eastAsia="Arial" w:hAnsi="Arial"/>
          <w:sz w:val="18"/>
          <w:szCs w:val="18"/>
          <w:color w:val="auto"/>
        </w:rPr>
        <w:t>” shall mean the connection of multiple communication devices in the home.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Home Networking Technology</w:t>
      </w:r>
      <w:r>
        <w:rPr>
          <w:rFonts w:ascii="Arial" w:cs="Arial" w:eastAsia="Arial" w:hAnsi="Arial"/>
          <w:sz w:val="18"/>
          <w:szCs w:val="18"/>
          <w:color w:val="auto"/>
        </w:rPr>
        <w:t>” shall mean the Home Networking technology based on Seller’s Technology and modified to be standard compliant and work with G.hn and possible predecessor and successor standards.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color w:val="0000EE"/>
        </w:rPr>
        <w:t>7.3</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2937510</wp:posOffset>
            </wp:positionH>
            <wp:positionV relativeFrom="paragraph">
              <wp:posOffset>-10160</wp:posOffset>
            </wp:positionV>
            <wp:extent cx="17145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color w:val="0000EE"/>
        </w:rPr>
        <w:t>7.3</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3001010</wp:posOffset>
            </wp:positionH>
            <wp:positionV relativeFrom="paragraph">
              <wp:posOffset>-10160</wp:posOffset>
            </wp:positionV>
            <wp:extent cx="17145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3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shall mean all intellectual property and proprietary rights throughout the world, including the following: (a) Patents; (b) all trade secrets and other rights in know-how and confidential or proprietary information; (c) all copyrights, copyrights registrations and applications therefor and all other rights corresponding thereto throughout the world; (d) all mask works, mask work registrations and applications therefor, and any equivalent or similar rights in semiconductor masks, layouts, architectures or topology; (e) all industrial designs and any registrations and applications therefor throughout the world; [(f) all rights in World Wide Web addresses and domain names and applications and registrations therefor; and (g) all trade names, logos, common law trademarks and service marks, trademark and service mark registrations and applications therefor.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Lantiq Germany</w:t>
      </w:r>
      <w:r>
        <w:rPr>
          <w:rFonts w:ascii="Arial" w:cs="Arial" w:eastAsia="Arial" w:hAnsi="Arial"/>
          <w:sz w:val="18"/>
          <w:szCs w:val="18"/>
          <w:color w:val="auto"/>
        </w:rPr>
        <w:t>” shall have the meaning set forth in the first paragraph of this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Lantiq Germany Purchased Assets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1.1</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Lantiq US</w:t>
      </w:r>
      <w:r>
        <w:rPr>
          <w:rFonts w:ascii="Arial" w:cs="Arial" w:eastAsia="Arial" w:hAnsi="Arial"/>
          <w:sz w:val="18"/>
          <w:szCs w:val="18"/>
          <w:color w:val="auto"/>
        </w:rPr>
        <w:t>” shall have the meaning set forth in the first paragraph of this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Lantiq US Purchased Assets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1.1</w:t>
      </w:r>
      <w:r>
        <w:rPr>
          <w:rFonts w:ascii="Arial" w:cs="Arial" w:eastAsia="Arial" w:hAnsi="Arial"/>
          <w:sz w:val="18"/>
          <w:szCs w:val="18"/>
          <w:color w:val="auto"/>
        </w:rPr>
        <w:t>.</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Liabilities</w:t>
      </w:r>
      <w:r>
        <w:rPr>
          <w:rFonts w:ascii="Arial" w:cs="Arial" w:eastAsia="Arial" w:hAnsi="Arial"/>
          <w:sz w:val="18"/>
          <w:szCs w:val="18"/>
          <w:color w:val="auto"/>
        </w:rPr>
        <w:t>” shall mean any and all costs, expenses, charges, indebtedness, obligations, claims, demands, assessments or other liabilities of a Person of any kind or nature, whether absolute, accrued, asserted or unasserted, contingent (or based upon any contingency), known or unknown, fixed or otherwise, direct or indirect, or whether due or to become due.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Liens</w:t>
      </w:r>
      <w:r>
        <w:rPr>
          <w:rFonts w:ascii="Arial" w:cs="Arial" w:eastAsia="Arial" w:hAnsi="Arial"/>
          <w:sz w:val="18"/>
          <w:szCs w:val="18"/>
          <w:color w:val="auto"/>
        </w:rPr>
        <w:t>” shall mean any mortgage, pledge, security interest, encumbrance, lien or charge of any kind (including any conditional sale or other title retention agreement or lease in the nature thereof) or any agreement to file any of the foregoing, any sale of receivables with recourse against a Person, and any filing or agreement to file a financing statement as debtor under the Uniform Commercial Code or any similar statute.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w:t>
      </w:r>
      <w:r>
        <w:rPr>
          <w:rFonts w:ascii="Arial" w:cs="Arial" w:eastAsia="Arial" w:hAnsi="Arial"/>
          <w:sz w:val="18"/>
          <w:szCs w:val="18"/>
          <w:color w:val="auto"/>
        </w:rPr>
        <w:t>” shall mean any Contract that grants a Person the right to use or otherwise enjoy the benefits of any Intellectual Property Right.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7.6</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Non-Compete Period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0000EE"/>
        </w:rPr>
        <w:t>6.4(a)</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Non-Purchased Patents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1.2(f)</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Outbound IP Licenses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color w:val="0000EE"/>
        </w:rPr>
        <w:t>1.2(c)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-10160</wp:posOffset>
            </wp:positionV>
            <wp:extent cx="2984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98450" cy="8890"/>
                    </a:xfrm>
                    <a:prstGeom prst="rect">
                      <a:avLst/>
                    </a:prstGeom>
                    <a:noFill/>
                  </pic:spPr>
                </pic:pic>
              </a:graphicData>
            </a:graphic>
          </wp:anchor>
        </w:drawing>
      </w:r>
    </w:p>
    <w:p>
      <w:pPr>
        <w:spacing w:after="0" w:line="2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Overlapping Technology</w:t>
      </w:r>
      <w:r>
        <w:rPr>
          <w:rFonts w:ascii="Arial" w:cs="Arial" w:eastAsia="Arial" w:hAnsi="Arial"/>
          <w:sz w:val="18"/>
          <w:szCs w:val="18"/>
          <w:color w:val="auto"/>
        </w:rPr>
        <w:t>” shall mean certain Intellectual Property Rights (excluding Patents licensed pursuant to the License Agreement) of Seller which are currently, or have been in the past utilized by Seller in connection with the development of both Seller’s DSL and/or Home Networking activities as well as in Seller’s test and diagnostics products and are not primarily related to the Seller Technology, including, without limitation, the Intellectual Property Rights set for on Appendix H of the DSL License Agreement.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0000EE"/>
        </w:rPr>
        <w:t>6.4(a)</w:t>
      </w:r>
      <w:r>
        <w:rPr>
          <w:rFonts w:ascii="Arial" w:cs="Arial" w:eastAsia="Arial" w:hAnsi="Arial"/>
          <w:sz w:val="18"/>
          <w:szCs w:val="18"/>
          <w:color w:val="auto"/>
        </w:rPr>
        <w:t>.</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Patents</w:t>
      </w:r>
      <w:r>
        <w:rPr>
          <w:rFonts w:ascii="Arial" w:cs="Arial" w:eastAsia="Arial" w:hAnsi="Arial"/>
          <w:sz w:val="17"/>
          <w:szCs w:val="17"/>
          <w:color w:val="auto"/>
        </w:rPr>
        <w:t>”(when used alone and not in defined terms “Purchased Patents” and “Non-Purchased Patents”) shall mean all United States and foreign patents and utility models and applications therefor (including the patents issued therefrom) filed prior to Closing and all reissues, divisions, re-examinations, renewals, extensions, provisionals, continuations and continuations-in-part thereof, and equivalent or similar rights anywhere in the world.</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xml:space="preserve"> shall mean any natural person, corporation, general partnership, limited partnership, limited liability company or partnership, proprietorship, other business organization, trust, union, association or Governmental Entity.</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Product</w:t>
      </w:r>
      <w:r>
        <w:rPr>
          <w:rFonts w:ascii="Arial" w:cs="Arial" w:eastAsia="Arial" w:hAnsi="Arial"/>
          <w:sz w:val="18"/>
          <w:szCs w:val="18"/>
          <w:color w:val="auto"/>
        </w:rPr>
        <w:t>” shall mean an integrated circuit which implements one or more xDSL and/or Home Networking Standard(s) and is sold or distributed by Purchasers and/or their Affiliates.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1.9</w:t>
      </w:r>
      <w:r>
        <w:rPr>
          <w:rFonts w:ascii="Arial" w:cs="Arial" w:eastAsia="Arial" w:hAnsi="Arial"/>
          <w:sz w:val="18"/>
          <w:szCs w:val="18"/>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Purchased Assets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1.1</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Purchased Fixed Assets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1.1(b)(i)</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Indemnified Parties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0000EE"/>
        </w:rPr>
        <w:t>7.1</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Purchased Inbound License Agreements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1.1(b)(ii)</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Purchased Non-Patent IP</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1.1(a)(iii)</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Purchased Patents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1.1(a)(ii)</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Purchasers</w:t>
      </w:r>
      <w:r>
        <w:rPr>
          <w:rFonts w:ascii="Arial" w:cs="Arial" w:eastAsia="Arial" w:hAnsi="Arial"/>
          <w:sz w:val="18"/>
          <w:szCs w:val="18"/>
          <w:color w:val="auto"/>
        </w:rPr>
        <w:t>” shall have the meaning set forth in the first paragraph of this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shall have the meaning set forth in the first paragraph of this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Indemnified Parties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0000EE"/>
        </w:rPr>
        <w:t>7.2</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Proprietary Rights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4.13(a)</w:t>
      </w:r>
      <w:r>
        <w:rPr>
          <w:rFonts w:ascii="Arial" w:cs="Arial" w:eastAsia="Arial" w:hAnsi="Arial"/>
          <w:sz w:val="18"/>
          <w:szCs w:val="18"/>
          <w:color w:val="auto"/>
        </w:rPr>
        <w:t>.</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Seller Technology</w:t>
      </w:r>
      <w:r>
        <w:rPr>
          <w:rFonts w:ascii="Arial" w:cs="Arial" w:eastAsia="Arial" w:hAnsi="Arial"/>
          <w:sz w:val="17"/>
          <w:szCs w:val="17"/>
          <w:color w:val="auto"/>
        </w:rPr>
        <w:t>” shall mean all Technology related to or used in connection with the Business as said Seller Technology exists on the date of this Agreement or the Closing Date other than Overlapping Technology and includes (i) with respect to the DSL Technology (all of which, other than Overlapping Technology, shall be deemed, for the avoidance of doubt, to be Seller Technology): (x) all Technology related to the following digital chips: Cocomo, Geminax, Geminax CR, Aware Stratiphy2Plus test chip, Amazon, Danube, Amazon S, Aware Hercules Test Chip, Aware Leto ATM-bonded ADSL2Plus CPE Test Chip, Aware A0.2 Analog Front End, Aware Hercules2 Single-port VDSL2 CO/CPE, Vinax Rev1 CO/CPE, Vinax Rev2, Aware Hercules3 Multiport VDSL2 CO (2-2-4-4 configuration), and VR9 (including the Cocomo C models) and (y) technology for the existing Aware AFE (50 Mhz) (including the RTL source code, specifications, RTL verification environment, GDS, board reference design and test characterization thereof, and any derivatives and future versions thereof), and (ii) with respect to Home Networking Technology: RTL source code, specifications, RTL verification environment, source code for the microsequencer, C-models, Matlab models, and the laboratory test environment.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Employees</w:t>
      </w:r>
      <w:r>
        <w:rPr>
          <w:rFonts w:ascii="Arial" w:cs="Arial" w:eastAsia="Arial" w:hAnsi="Arial"/>
          <w:sz w:val="18"/>
          <w:szCs w:val="18"/>
          <w:color w:val="auto"/>
        </w:rPr>
        <w:t xml:space="preserve">” shall have the meaning set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0000EE"/>
        </w:rPr>
        <w:t>6.6(a)</w:t>
      </w:r>
      <w:r>
        <w:rPr>
          <w:rFonts w:ascii="Arial" w:cs="Arial" w:eastAsia="Arial" w:hAnsi="Arial"/>
          <w:sz w:val="18"/>
          <w:szCs w:val="18"/>
          <w:color w:val="auto"/>
        </w:rPr>
        <w: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Standard</w:t>
      </w:r>
      <w:r>
        <w:rPr>
          <w:rFonts w:ascii="Arial" w:cs="Arial" w:eastAsia="Arial" w:hAnsi="Arial"/>
          <w:sz w:val="18"/>
          <w:szCs w:val="18"/>
          <w:color w:val="auto"/>
        </w:rPr>
        <w:t>” shall mean a communication standard defined and announced by ANSI, ATIS, ETSI, the ITU or any other standardization body which defined DSL and Home Networking standards and/or possible successor standards.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StratiPHY</w:t>
      </w:r>
      <w:r>
        <w:rPr>
          <w:rFonts w:ascii="Arial" w:cs="Arial" w:eastAsia="Arial" w:hAnsi="Arial"/>
          <w:sz w:val="18"/>
          <w:szCs w:val="18"/>
          <w:color w:val="auto"/>
        </w:rPr>
        <w:t>” shall mean Seller’s family of DSL silicon intellectual property solutions.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shall mean any Person in which Seller, directly or indirectly through subsidiaries or otherwise, beneficially owns at least twenty percent (20%) of either the equity interest in, or the voting control of, such Person, whether or not existing on the date hereof.</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shall mean all taxes, however denominated, including any interest, penalties or other additions to tax that may become payable in respect thereof, (a) imposed by any federal, territorial, state, local or foreign government or any agency or political subdivision of any such government, which taxes shall include, without limiting the generality of the foregoing, all income or profits taxes (including but not limited to, federal, state and foreign income taxes), payroll and employee withholding taxes, unemployment insurance contributions, social security taxes, sales and use taxes, ad valorem taxes, excise taxes, franchise taxes, gross receipts taxes, withholding taxes, business license taxes, occupation taxes, real and personal property taxes, escheat liability or other similar property rights (whether in connection with abandoned or unclaimed property or otherwise) asserted by a Governmental Entity, stamp taxes, environmental taxes, transfer taxes, workers’ compensation, Pension Benefit Guaranty Corporation premiums and other governmental charges, and other obligations of the same or of a similar nature to any of the foregoing, which are required to be paid, withheld or collected, (b) any liability for the payment of amounts referred to in (a) as a result of being a member of any affiliated, consolidated, combined or unitary group, or (c) any liability for amounts referred to in (a) or (b) as a result of any obligations to indemnify another person or as a result of being a successor in interest or transferee of another person.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2" w:name="page83"/>
    <w:bookmarkEnd w:id="82"/>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shall mean any return, declaration, report, claim for refund, or information return or statement relating to Taxes, including any schedule or attachment thereto, and including any amendment thereof.</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Technology</w:t>
      </w:r>
      <w:r>
        <w:rPr>
          <w:rFonts w:ascii="Arial" w:cs="Arial" w:eastAsia="Arial" w:hAnsi="Arial"/>
          <w:sz w:val="17"/>
          <w:szCs w:val="17"/>
          <w:color w:val="auto"/>
        </w:rPr>
        <w:t>” shall mean any or all of the following (but not the Intellectual Property Rights therein or associated therewith): (a) works of authorship including computer programs, source code and executable code, whether embodied in software, firmware or otherwise, documentation, designs, files, verilog files, RTL files, HDL, VHDL, netlists, records, data and mask works; (b) inventions (whether or not patentable), improvements, and technology; (c) proprietary and confidential information, including technical data and customer and supplier lists, trade secrets and know how; (d) databases, data compilations and collections and technical data; (e) logos, trade names, trade dress, trademarks, service marks, World Wide Web addresses and domain names, tools, methods and processes; and all instantiations of the foregoing in any form and embodied in any media.</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Claim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0000EE"/>
        </w:rPr>
        <w:t>7.3</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Assets Rights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1.1(b)(iii)</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Code</w:t>
      </w:r>
      <w:r>
        <w:rPr>
          <w:rFonts w:ascii="Arial" w:cs="Arial" w:eastAsia="Arial" w:hAnsi="Arial"/>
          <w:sz w:val="18"/>
          <w:szCs w:val="18"/>
          <w:color w:val="auto"/>
        </w:rPr>
        <w:t>” shall mean the United States Internal Revenue Code of 1986, as amended.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VAT</w:t>
      </w:r>
      <w:r>
        <w:rPr>
          <w:rFonts w:ascii="Arial" w:cs="Arial" w:eastAsia="Arial" w:hAnsi="Arial"/>
          <w:sz w:val="18"/>
          <w:szCs w:val="18"/>
          <w:color w:val="auto"/>
        </w:rPr>
        <w:t>” shall mean value added Taxes.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VDSL1</w:t>
      </w:r>
      <w:r>
        <w:rPr>
          <w:rFonts w:ascii="Arial" w:cs="Arial" w:eastAsia="Arial" w:hAnsi="Arial"/>
          <w:sz w:val="18"/>
          <w:szCs w:val="18"/>
          <w:color w:val="auto"/>
        </w:rPr>
        <w:t>” shall mean the International Telecommunications DMT VDSL 1 Standard and the ITU VDSL1 Standard and any and all Derivatives/Extensions thereof.</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VDSL2</w:t>
      </w:r>
      <w:r>
        <w:rPr>
          <w:rFonts w:ascii="Arial" w:cs="Arial" w:eastAsia="Arial" w:hAnsi="Arial"/>
          <w:sz w:val="18"/>
          <w:szCs w:val="18"/>
          <w:color w:val="auto"/>
        </w:rPr>
        <w:t>” shall mean the International Telecommunications DMT VDSL 2 Standard and the ITU VDSL2 Standard and any and all Derivatives/Extensions thereof.</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VDSL Products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1.42</w:t>
      </w:r>
      <w:r>
        <w:rPr>
          <w:rFonts w:ascii="Arial" w:cs="Arial" w:eastAsia="Arial" w:hAnsi="Arial"/>
          <w:sz w:val="18"/>
          <w:szCs w:val="18"/>
          <w:color w:val="auto"/>
        </w:rPr>
        <w:t xml:space="preserve"> of the DSL License Agreement.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3" w:name="page84"/>
    <w:bookmarkEnd w:id="83"/>
    <w:p>
      <w:pPr>
        <w:ind w:left="660"/>
        <w:spacing w:after="0"/>
        <w:rPr>
          <w:sz w:val="20"/>
          <w:szCs w:val="20"/>
          <w:color w:val="auto"/>
        </w:rPr>
      </w:pPr>
      <w:r>
        <w:rPr>
          <w:rFonts w:ascii="Arial" w:cs="Arial" w:eastAsia="Arial" w:hAnsi="Arial"/>
          <w:sz w:val="16"/>
          <w:szCs w:val="16"/>
          <w:color w:val="auto"/>
        </w:rPr>
        <w:t>IN WITNESS WHEREOF, the undersigned have duly executed and delivered this Asset Purchase Agreement under seal on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0" w:lineRule="exact"/>
        <w:rPr>
          <w:sz w:val="20"/>
          <w:szCs w:val="20"/>
          <w:color w:val="auto"/>
        </w:rPr>
      </w:pPr>
    </w:p>
    <w:p>
      <w:pPr>
        <w:spacing w:after="0" w:line="25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AWARE, INC.</w:t>
      </w:r>
    </w:p>
    <w:p>
      <w:pPr>
        <w:spacing w:after="0" w:line="229" w:lineRule="exact"/>
        <w:rPr>
          <w:sz w:val="20"/>
          <w:szCs w:val="20"/>
          <w:color w:val="auto"/>
        </w:rPr>
      </w:pPr>
    </w:p>
    <w:p>
      <w:pPr>
        <w:ind w:left="6180"/>
        <w:spacing w:after="0"/>
        <w:tabs>
          <w:tab w:leader="none" w:pos="6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Edmund C. Reiter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14605</wp:posOffset>
            </wp:positionV>
            <wp:extent cx="158623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6" w:lineRule="exact"/>
        <w:rPr>
          <w:sz w:val="20"/>
          <w:szCs w:val="20"/>
          <w:color w:val="auto"/>
        </w:rPr>
      </w:pPr>
    </w:p>
    <w:p>
      <w:pPr>
        <w:ind w:left="6180"/>
        <w:spacing w:after="0"/>
        <w:tabs>
          <w:tab w:leader="none" w:pos="6840" w:val="left"/>
        </w:tabs>
        <w:rPr>
          <w:sz w:val="20"/>
          <w:szCs w:val="20"/>
          <w:color w:val="auto"/>
        </w:rPr>
      </w:pPr>
      <w:r>
        <w:rPr>
          <w:rFonts w:ascii="Arial" w:cs="Arial" w:eastAsia="Arial" w:hAnsi="Arial"/>
          <w:sz w:val="18"/>
          <w:szCs w:val="18"/>
          <w:color w:val="auto"/>
        </w:rPr>
        <w:t>Name:</w:t>
        <w:tab/>
        <w:t>Edmund C. Reiter</w:t>
      </w:r>
    </w:p>
    <w:p>
      <w:pPr>
        <w:spacing w:after="0" w:line="23" w:lineRule="exact"/>
        <w:rPr>
          <w:sz w:val="20"/>
          <w:szCs w:val="20"/>
          <w:color w:val="auto"/>
        </w:rPr>
      </w:pPr>
    </w:p>
    <w:p>
      <w:pPr>
        <w:ind w:left="618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LANTIQ BROADBAND HOLDCO INC.</w:t>
      </w:r>
    </w:p>
    <w:p>
      <w:pPr>
        <w:spacing w:after="0" w:line="229" w:lineRule="exact"/>
        <w:rPr>
          <w:sz w:val="20"/>
          <w:szCs w:val="20"/>
          <w:color w:val="auto"/>
        </w:rPr>
      </w:pPr>
    </w:p>
    <w:p>
      <w:pPr>
        <w:ind w:left="6180"/>
        <w:spacing w:after="0"/>
        <w:tabs>
          <w:tab w:leader="none" w:pos="6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Knoll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14605</wp:posOffset>
            </wp:positionV>
            <wp:extent cx="158623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6" w:lineRule="exact"/>
        <w:rPr>
          <w:sz w:val="20"/>
          <w:szCs w:val="20"/>
          <w:color w:val="auto"/>
        </w:rPr>
      </w:pPr>
    </w:p>
    <w:p>
      <w:pPr>
        <w:ind w:left="6180"/>
        <w:spacing w:after="0"/>
        <w:tabs>
          <w:tab w:leader="none" w:pos="6840" w:val="left"/>
        </w:tabs>
        <w:rPr>
          <w:sz w:val="20"/>
          <w:szCs w:val="20"/>
          <w:color w:val="auto"/>
        </w:rPr>
      </w:pPr>
      <w:r>
        <w:rPr>
          <w:rFonts w:ascii="Arial" w:cs="Arial" w:eastAsia="Arial" w:hAnsi="Arial"/>
          <w:sz w:val="18"/>
          <w:szCs w:val="18"/>
          <w:color w:val="auto"/>
        </w:rPr>
        <w:t>Name:</w:t>
        <w:tab/>
        <w:t>John Knoll</w:t>
      </w:r>
    </w:p>
    <w:p>
      <w:pPr>
        <w:spacing w:after="0" w:line="23" w:lineRule="exact"/>
        <w:rPr>
          <w:sz w:val="20"/>
          <w:szCs w:val="20"/>
          <w:color w:val="auto"/>
        </w:rPr>
      </w:pPr>
    </w:p>
    <w:p>
      <w:pPr>
        <w:ind w:left="618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LANTIQ DEUTSCHLAND GmbH</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60" w:type="dxa"/>
            <w:vAlign w:val="bottom"/>
          </w:tcPr>
          <w:p>
            <w:pPr>
              <w:ind w:left="618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0"/>
                <w:szCs w:val="20"/>
                <w:color w:val="auto"/>
              </w:rPr>
            </w:pPr>
          </w:p>
        </w:tc>
        <w:tc>
          <w:tcPr>
            <w:tcW w:w="2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John Knoll</w:t>
            </w:r>
          </w:p>
        </w:tc>
        <w:tc>
          <w:tcPr>
            <w:tcW w:w="2060" w:type="dxa"/>
            <w:vAlign w:val="bottom"/>
          </w:tcPr>
          <w:p>
            <w:pPr>
              <w:spacing w:after="0"/>
              <w:rPr>
                <w:sz w:val="20"/>
                <w:szCs w:val="20"/>
                <w:color w:val="auto"/>
              </w:rPr>
            </w:pPr>
          </w:p>
        </w:tc>
      </w:tr>
      <w:tr>
        <w:trPr>
          <w:trHeight w:val="202"/>
        </w:trPr>
        <w:tc>
          <w:tcPr>
            <w:tcW w:w="6760" w:type="dxa"/>
            <w:vAlign w:val="bottom"/>
          </w:tcPr>
          <w:p>
            <w:pPr>
              <w:ind w:left="6180"/>
              <w:spacing w:after="0" w:line="201" w:lineRule="exact"/>
              <w:rPr>
                <w:sz w:val="20"/>
                <w:szCs w:val="20"/>
                <w:color w:val="auto"/>
              </w:rPr>
            </w:pPr>
            <w:r>
              <w:rPr>
                <w:rFonts w:ascii="Arial" w:cs="Arial" w:eastAsia="Arial" w:hAnsi="Arial"/>
                <w:sz w:val="18"/>
                <w:szCs w:val="18"/>
                <w:color w:val="auto"/>
              </w:rPr>
              <w:t>Name:</w:t>
            </w:r>
          </w:p>
        </w:tc>
        <w:tc>
          <w:tcPr>
            <w:tcW w:w="100" w:type="dxa"/>
            <w:vAlign w:val="bottom"/>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John Knoll</w:t>
            </w:r>
          </w:p>
        </w:tc>
        <w:tc>
          <w:tcPr>
            <w:tcW w:w="2060" w:type="dxa"/>
            <w:vAlign w:val="bottom"/>
          </w:tcPr>
          <w:p>
            <w:pPr>
              <w:spacing w:after="0"/>
              <w:rPr>
                <w:sz w:val="17"/>
                <w:szCs w:val="17"/>
                <w:color w:val="auto"/>
              </w:rPr>
            </w:pPr>
          </w:p>
        </w:tc>
      </w:tr>
      <w:tr>
        <w:trPr>
          <w:trHeight w:val="230"/>
        </w:trPr>
        <w:tc>
          <w:tcPr>
            <w:tcW w:w="6760" w:type="dxa"/>
            <w:vAlign w:val="bottom"/>
          </w:tcPr>
          <w:p>
            <w:pPr>
              <w:ind w:left="6180"/>
              <w:spacing w:after="0"/>
              <w:rPr>
                <w:sz w:val="20"/>
                <w:szCs w:val="20"/>
                <w:color w:val="auto"/>
              </w:rPr>
            </w:pPr>
            <w:r>
              <w:rPr>
                <w:rFonts w:ascii="Arial" w:cs="Arial" w:eastAsia="Arial" w:hAnsi="Arial"/>
                <w:sz w:val="18"/>
                <w:szCs w:val="18"/>
                <w:color w:val="auto"/>
              </w:rPr>
              <w:t>Title:</w:t>
            </w:r>
          </w:p>
        </w:tc>
        <w:tc>
          <w:tcPr>
            <w:tcW w:w="2600" w:type="dxa"/>
            <w:vAlign w:val="bottom"/>
            <w:gridSpan w:val="2"/>
          </w:tcPr>
          <w:p>
            <w:pPr>
              <w:ind w:left="100"/>
              <w:spacing w:after="0"/>
              <w:rPr>
                <w:sz w:val="20"/>
                <w:szCs w:val="20"/>
                <w:color w:val="auto"/>
              </w:rPr>
            </w:pPr>
            <w:r>
              <w:rPr>
                <w:rFonts w:ascii="Arial" w:cs="Arial" w:eastAsia="Arial" w:hAnsi="Arial"/>
                <w:sz w:val="18"/>
                <w:szCs w:val="18"/>
                <w:color w:val="auto"/>
              </w:rPr>
              <w:t>Managing Director</w:t>
            </w:r>
          </w:p>
        </w:tc>
        <w:tc>
          <w:tcPr>
            <w:tcW w:w="2060" w:type="dxa"/>
            <w:vAlign w:val="bottom"/>
          </w:tcPr>
          <w:p>
            <w:pPr>
              <w:spacing w:after="0"/>
              <w:rPr>
                <w:sz w:val="20"/>
                <w:szCs w:val="20"/>
                <w:color w:val="auto"/>
              </w:rPr>
            </w:pPr>
          </w:p>
        </w:tc>
      </w:tr>
      <w:tr>
        <w:trPr>
          <w:trHeight w:val="648"/>
        </w:trPr>
        <w:tc>
          <w:tcPr>
            <w:tcW w:w="67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20"/>
          </w:cols>
          <w:pgMar w:left="240" w:top="517" w:right="239" w:bottom="1440" w:gutter="0" w:footer="0" w:header="0"/>
        </w:sectPr>
      </w:pPr>
    </w:p>
    <w:bookmarkStart w:id="84" w:name="page85"/>
    <w:bookmarkEnd w:id="84"/>
    <w:p>
      <w:pPr>
        <w:jc w:val="right"/>
        <w:ind w:right="3819"/>
        <w:spacing w:after="0"/>
        <w:rPr>
          <w:sz w:val="20"/>
          <w:szCs w:val="20"/>
          <w:color w:val="auto"/>
        </w:rPr>
      </w:pPr>
      <w:r>
        <w:rPr>
          <w:rFonts w:ascii="Arial" w:cs="Arial" w:eastAsia="Arial" w:hAnsi="Arial"/>
          <w:sz w:val="18"/>
          <w:szCs w:val="18"/>
          <w:u w:val="single" w:color="auto"/>
          <w:color w:val="auto"/>
        </w:rPr>
        <w:t>Index of Schedules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1.1(a)(i)</w:t>
      </w:r>
      <w:r>
        <w:rPr>
          <w:rFonts w:ascii="Arial" w:cs="Arial" w:eastAsia="Arial" w:hAnsi="Arial"/>
          <w:sz w:val="18"/>
          <w:szCs w:val="18"/>
          <w:color w:val="auto"/>
        </w:rPr>
        <w:t xml:space="preserve"> - - Patent Assignment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1.1(b)(i)</w:t>
      </w:r>
      <w:r>
        <w:rPr>
          <w:rFonts w:ascii="Arial" w:cs="Arial" w:eastAsia="Arial" w:hAnsi="Arial"/>
          <w:sz w:val="18"/>
          <w:szCs w:val="18"/>
          <w:color w:val="auto"/>
        </w:rPr>
        <w:t xml:space="preserve"> – Purchased Fixed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1.1(b)(ii)</w:t>
      </w:r>
      <w:r>
        <w:rPr>
          <w:rFonts w:ascii="Arial" w:cs="Arial" w:eastAsia="Arial" w:hAnsi="Arial"/>
          <w:sz w:val="18"/>
          <w:szCs w:val="18"/>
          <w:color w:val="auto"/>
        </w:rPr>
        <w:t xml:space="preserve"> - Purchased Inbound License Agreements</w:t>
      </w:r>
    </w:p>
    <w:p>
      <w:pPr>
        <w:spacing w:after="0" w:line="252" w:lineRule="exact"/>
        <w:rPr>
          <w:sz w:val="20"/>
          <w:szCs w:val="20"/>
          <w:color w:val="auto"/>
        </w:rPr>
      </w:pPr>
    </w:p>
    <w:p>
      <w:pPr>
        <w:ind w:right="5019"/>
        <w:spacing w:after="0" w:line="532" w:lineRule="auto"/>
        <w:rPr>
          <w:sz w:val="20"/>
          <w:szCs w:val="20"/>
          <w:color w:val="auto"/>
        </w:rPr>
      </w:pP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1.2(c)</w:t>
      </w:r>
      <w:r>
        <w:rPr>
          <w:rFonts w:ascii="Arial" w:cs="Arial" w:eastAsia="Arial" w:hAnsi="Arial"/>
          <w:sz w:val="18"/>
          <w:szCs w:val="18"/>
          <w:color w:val="auto"/>
        </w:rPr>
        <w:t xml:space="preserve"> - Outbound IP Licenses/Customers/Customer Contracts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1.5</w:t>
      </w:r>
      <w:r>
        <w:rPr>
          <w:rFonts w:ascii="Arial" w:cs="Arial" w:eastAsia="Arial" w:hAnsi="Arial"/>
          <w:sz w:val="18"/>
          <w:szCs w:val="18"/>
          <w:color w:val="auto"/>
        </w:rPr>
        <w:t xml:space="preserve"> - Amended and Restated DSL License Agreement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1.7</w:t>
      </w:r>
      <w:r>
        <w:rPr>
          <w:rFonts w:ascii="Arial" w:cs="Arial" w:eastAsia="Arial" w:hAnsi="Arial"/>
          <w:sz w:val="18"/>
          <w:szCs w:val="18"/>
          <w:color w:val="auto"/>
        </w:rPr>
        <w:t xml:space="preserve"> - Seller and Purchasers Test &amp; Diagnostic Cooperation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1.8</w:t>
      </w:r>
      <w:r>
        <w:rPr>
          <w:rFonts w:ascii="Arial" w:cs="Arial" w:eastAsia="Arial" w:hAnsi="Arial"/>
          <w:sz w:val="18"/>
          <w:szCs w:val="18"/>
          <w:color w:val="auto"/>
        </w:rPr>
        <w:t xml:space="preserve"> - Lease Agreement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 2.1(d)(ii)</w:t>
      </w:r>
      <w:r>
        <w:rPr>
          <w:rFonts w:ascii="Arial" w:cs="Arial" w:eastAsia="Arial" w:hAnsi="Arial"/>
          <w:sz w:val="18"/>
          <w:szCs w:val="18"/>
          <w:color w:val="auto"/>
        </w:rPr>
        <w:t xml:space="preserve"> – Bill of Sale and Assumption of Liabilities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4.6</w:t>
      </w:r>
      <w:r>
        <w:rPr>
          <w:rFonts w:ascii="Arial" w:cs="Arial" w:eastAsia="Arial" w:hAnsi="Arial"/>
          <w:sz w:val="18"/>
          <w:szCs w:val="18"/>
          <w:color w:val="auto"/>
        </w:rPr>
        <w:t xml:space="preserve"> - Litigation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4.10</w:t>
      </w:r>
      <w:r>
        <w:rPr>
          <w:rFonts w:ascii="Arial" w:cs="Arial" w:eastAsia="Arial" w:hAnsi="Arial"/>
          <w:sz w:val="18"/>
          <w:szCs w:val="18"/>
          <w:color w:val="auto"/>
        </w:rPr>
        <w:t xml:space="preserve"> - Customers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4.12</w:t>
      </w:r>
      <w:r>
        <w:rPr>
          <w:rFonts w:ascii="Arial" w:cs="Arial" w:eastAsia="Arial" w:hAnsi="Arial"/>
          <w:sz w:val="18"/>
          <w:szCs w:val="18"/>
          <w:color w:val="auto"/>
        </w:rPr>
        <w:t xml:space="preserve"> - Suppliers</w:t>
      </w:r>
    </w:p>
    <w:p>
      <w:pPr>
        <w:spacing w:after="0" w:line="252" w:lineRule="exact"/>
        <w:rPr>
          <w:sz w:val="20"/>
          <w:szCs w:val="20"/>
          <w:color w:val="auto"/>
        </w:rPr>
      </w:pPr>
    </w:p>
    <w:p>
      <w:pPr>
        <w:ind w:right="4939"/>
        <w:spacing w:after="0" w:line="598" w:lineRule="auto"/>
        <w:rPr>
          <w:sz w:val="20"/>
          <w:szCs w:val="20"/>
          <w:color w:val="auto"/>
        </w:rPr>
      </w:pP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0000EE"/>
        </w:rPr>
        <w:t>4.13(b)</w:t>
      </w:r>
      <w:r>
        <w:rPr>
          <w:rFonts w:ascii="Arial" w:cs="Arial" w:eastAsia="Arial" w:hAnsi="Arial"/>
          <w:sz w:val="16"/>
          <w:szCs w:val="16"/>
          <w:color w:val="auto"/>
        </w:rPr>
        <w:t xml:space="preserve"> - Patents/Trademarks/Copyrights and Any Applications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0000EE"/>
        </w:rPr>
        <w:t>4.13(c)</w:t>
      </w:r>
      <w:r>
        <w:rPr>
          <w:rFonts w:ascii="Arial" w:cs="Arial" w:eastAsia="Arial" w:hAnsi="Arial"/>
          <w:sz w:val="16"/>
          <w:szCs w:val="16"/>
          <w:color w:val="auto"/>
        </w:rPr>
        <w:t xml:space="preserve"> - Payments for Seller Proprietary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-461010</wp:posOffset>
            </wp:positionV>
            <wp:extent cx="2857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4.13(d)</w:t>
      </w:r>
      <w:r>
        <w:rPr>
          <w:rFonts w:ascii="Arial" w:cs="Arial" w:eastAsia="Arial" w:hAnsi="Arial"/>
          <w:sz w:val="18"/>
          <w:szCs w:val="18"/>
          <w:color w:val="auto"/>
        </w:rPr>
        <w:t xml:space="preserve"> -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-10160</wp:posOffset>
            </wp:positionV>
            <wp:extent cx="2857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4.13(g)</w:t>
      </w:r>
      <w:r>
        <w:rPr>
          <w:rFonts w:ascii="Arial" w:cs="Arial" w:eastAsia="Arial" w:hAnsi="Arial"/>
          <w:sz w:val="18"/>
          <w:szCs w:val="18"/>
          <w:color w:val="auto"/>
        </w:rPr>
        <w:t xml:space="preserve"> - Employee Confidentiality Agreements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4.18</w:t>
      </w:r>
      <w:r>
        <w:rPr>
          <w:rFonts w:ascii="Arial" w:cs="Arial" w:eastAsia="Arial" w:hAnsi="Arial"/>
          <w:sz w:val="18"/>
          <w:szCs w:val="18"/>
          <w:color w:val="auto"/>
        </w:rPr>
        <w:t xml:space="preserve"> - Foreign Corrupt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-10160</wp:posOffset>
            </wp:positionV>
            <wp:extent cx="2857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4.20(b)</w:t>
      </w:r>
      <w:r>
        <w:rPr>
          <w:rFonts w:ascii="Arial" w:cs="Arial" w:eastAsia="Arial" w:hAnsi="Arial"/>
          <w:sz w:val="18"/>
          <w:szCs w:val="18"/>
          <w:color w:val="auto"/>
        </w:rPr>
        <w:t xml:space="preserve"> - Collective Bargaining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-10160</wp:posOffset>
            </wp:positionV>
            <wp:extent cx="2857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4.20(c)</w:t>
      </w:r>
      <w:r>
        <w:rPr>
          <w:rFonts w:ascii="Arial" w:cs="Arial" w:eastAsia="Arial" w:hAnsi="Arial"/>
          <w:sz w:val="18"/>
          <w:szCs w:val="18"/>
          <w:color w:val="auto"/>
        </w:rPr>
        <w:t xml:space="preserve"> - Employee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-10160</wp:posOffset>
            </wp:positionV>
            <wp:extent cx="285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4.20(d)</w:t>
      </w:r>
      <w:r>
        <w:rPr>
          <w:rFonts w:ascii="Arial" w:cs="Arial" w:eastAsia="Arial" w:hAnsi="Arial"/>
          <w:sz w:val="18"/>
          <w:szCs w:val="18"/>
          <w:color w:val="auto"/>
        </w:rPr>
        <w:t xml:space="preserve"> - Job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-10160</wp:posOffset>
            </wp:positionV>
            <wp:extent cx="285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4.20(e)</w:t>
      </w:r>
      <w:r>
        <w:rPr>
          <w:rFonts w:ascii="Arial" w:cs="Arial" w:eastAsia="Arial" w:hAnsi="Arial"/>
          <w:sz w:val="18"/>
          <w:szCs w:val="18"/>
          <w:color w:val="auto"/>
        </w:rPr>
        <w:t xml:space="preserve"> - Post-Employment Benefits to Specified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-10160</wp:posOffset>
            </wp:positionV>
            <wp:extent cx="285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4.20(g)</w:t>
      </w:r>
      <w:r>
        <w:rPr>
          <w:rFonts w:ascii="Arial" w:cs="Arial" w:eastAsia="Arial" w:hAnsi="Arial"/>
          <w:sz w:val="18"/>
          <w:szCs w:val="18"/>
          <w:color w:val="auto"/>
        </w:rPr>
        <w:t xml:space="preserve"> - Liabilities to Specified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-10160</wp:posOffset>
            </wp:positionV>
            <wp:extent cx="285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32" w:lineRule="exact"/>
        <w:rPr>
          <w:sz w:val="20"/>
          <w:szCs w:val="20"/>
          <w:color w:val="auto"/>
        </w:rPr>
      </w:pPr>
    </w:p>
    <w:p>
      <w:pPr>
        <w:ind w:right="4979"/>
        <w:spacing w:after="0" w:line="532" w:lineRule="auto"/>
        <w:rPr>
          <w:sz w:val="20"/>
          <w:szCs w:val="20"/>
          <w:color w:val="auto"/>
        </w:rPr>
      </w:pP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4.20(i)</w:t>
      </w:r>
      <w:r>
        <w:rPr>
          <w:rFonts w:ascii="Arial" w:cs="Arial" w:eastAsia="Arial" w:hAnsi="Arial"/>
          <w:sz w:val="18"/>
          <w:szCs w:val="18"/>
          <w:color w:val="auto"/>
        </w:rPr>
        <w:t xml:space="preserve"> - Effect of Transaction on Specified Employee Benefits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6.6</w:t>
      </w:r>
      <w:r>
        <w:rPr>
          <w:rFonts w:ascii="Arial" w:cs="Arial" w:eastAsia="Arial" w:hAnsi="Arial"/>
          <w:sz w:val="18"/>
          <w:szCs w:val="18"/>
          <w:color w:val="auto"/>
        </w:rPr>
        <w:t xml:space="preserve"> - Specified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-461645</wp:posOffset>
            </wp:positionV>
            <wp:extent cx="285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6.6(d)</w:t>
      </w:r>
      <w:r>
        <w:rPr>
          <w:rFonts w:ascii="Arial" w:cs="Arial" w:eastAsia="Arial" w:hAnsi="Arial"/>
          <w:sz w:val="18"/>
          <w:szCs w:val="18"/>
          <w:color w:val="auto"/>
        </w:rPr>
        <w:t xml:space="preserve"> - Affected Foreign National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-10160</wp:posOffset>
            </wp:positionV>
            <wp:extent cx="285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 6.7</w:t>
      </w:r>
      <w:r>
        <w:rPr>
          <w:rFonts w:ascii="Arial" w:cs="Arial" w:eastAsia="Arial" w:hAnsi="Arial"/>
          <w:sz w:val="18"/>
          <w:szCs w:val="18"/>
          <w:color w:val="auto"/>
        </w:rPr>
        <w:t xml:space="preserve"> - Transitional IT Assistance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17" w:right="1440" w:bottom="1440" w:gutter="0" w:footer="0" w:header="0"/>
        </w:sectPr>
      </w:pPr>
    </w:p>
    <w:bookmarkStart w:id="85" w:name="page86"/>
    <w:bookmarkEnd w:id="85"/>
    <w:p>
      <w:pPr>
        <w:spacing w:after="0" w:line="277" w:lineRule="auto"/>
        <w:rPr>
          <w:sz w:val="20"/>
          <w:szCs w:val="20"/>
          <w:color w:val="auto"/>
        </w:rPr>
      </w:pPr>
      <w:r>
        <w:rPr>
          <w:rFonts w:ascii="Arial" w:cs="Arial" w:eastAsia="Arial" w:hAnsi="Arial"/>
          <w:sz w:val="18"/>
          <w:szCs w:val="18"/>
          <w:color w:val="auto"/>
        </w:rPr>
        <w:t>The Schedules referred to above have been omitted in reliance on Item 601(b)(2) of Regulation S-K. Aware will furnish supplementally a copy of any omitted Schedule to the Securities and Exchange Commission upon request.</w:t>
      </w:r>
    </w:p>
    <w:p>
      <w:pPr>
        <w:sectPr>
          <w:pgSz w:w="11900" w:h="16838" w:orient="portrait"/>
          <w:cols w:equalWidth="0" w:num="1">
            <w:col w:w="11420"/>
          </w:cols>
          <w:pgMar w:left="240" w:top="368"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21.1</w:t>
      </w:r>
    </w:p>
    <w:p>
      <w:pPr>
        <w:spacing w:after="0" w:line="225"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p>
        </w:tc>
        <w:tc>
          <w:tcPr>
            <w:tcW w:w="5640" w:type="dxa"/>
            <w:vAlign w:val="bottom"/>
            <w:gridSpan w:val="2"/>
          </w:tcPr>
          <w:p>
            <w:pPr>
              <w:ind w:left="260"/>
              <w:spacing w:after="0"/>
              <w:rPr>
                <w:sz w:val="20"/>
                <w:szCs w:val="20"/>
                <w:color w:val="auto"/>
              </w:rPr>
            </w:pPr>
            <w:r>
              <w:rPr>
                <w:rFonts w:ascii="Arial" w:cs="Arial" w:eastAsia="Arial" w:hAnsi="Arial"/>
                <w:sz w:val="18"/>
                <w:szCs w:val="18"/>
                <w:b w:val="1"/>
                <w:bCs w:val="1"/>
                <w:color w:val="auto"/>
              </w:rPr>
              <w:t>SUBSIDIARIES OF REGISTRANT</w:t>
            </w:r>
          </w:p>
        </w:tc>
      </w:tr>
      <w:tr>
        <w:trPr>
          <w:trHeight w:val="466"/>
        </w:trPr>
        <w:tc>
          <w:tcPr>
            <w:tcW w:w="2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Organization</w:t>
            </w:r>
          </w:p>
        </w:tc>
        <w:tc>
          <w:tcPr>
            <w:tcW w:w="4220" w:type="dxa"/>
            <w:vAlign w:val="bottom"/>
          </w:tcPr>
          <w:p>
            <w:pPr>
              <w:spacing w:after="0"/>
              <w:rPr>
                <w:sz w:val="24"/>
                <w:szCs w:val="24"/>
                <w:color w:val="auto"/>
              </w:rPr>
            </w:pPr>
          </w:p>
        </w:tc>
        <w:tc>
          <w:tcPr>
            <w:tcW w:w="14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Jurisdiction</w:t>
            </w:r>
          </w:p>
        </w:tc>
      </w:tr>
      <w:tr>
        <w:trPr>
          <w:trHeight w:val="432"/>
        </w:trPr>
        <w:tc>
          <w:tcPr>
            <w:tcW w:w="2340" w:type="dxa"/>
            <w:vAlign w:val="bottom"/>
          </w:tcPr>
          <w:p>
            <w:pPr>
              <w:spacing w:after="0"/>
              <w:rPr>
                <w:sz w:val="20"/>
                <w:szCs w:val="20"/>
                <w:color w:val="auto"/>
              </w:rPr>
            </w:pPr>
            <w:r>
              <w:rPr>
                <w:rFonts w:ascii="Arial" w:cs="Arial" w:eastAsia="Arial" w:hAnsi="Arial"/>
                <w:sz w:val="18"/>
                <w:szCs w:val="18"/>
                <w:color w:val="auto"/>
              </w:rPr>
              <w:t>Aware Security Corporation</w:t>
            </w:r>
          </w:p>
        </w:tc>
        <w:tc>
          <w:tcPr>
            <w:tcW w:w="42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6"/>
              </w:rPr>
              <w:t>Massachusetts</w:t>
            </w:r>
          </w:p>
        </w:tc>
      </w:tr>
    </w:tbl>
    <w:p>
      <w:pPr>
        <w:sectPr>
          <w:pgSz w:w="11900" w:h="16838" w:orient="portrait"/>
          <w:cols w:equalWidth="0" w:num="1">
            <w:col w:w="10220"/>
          </w:cols>
          <w:pgMar w:left="1440" w:top="243"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333-15805, 333-45026, 333-62020, 333-106569 and 333-106570) of Aware, Inc. of our report dated February 12, 2010 relating to the consolidated financial statements, financial statement schedule, and the effectiveness of internal control over financial reporting, which appears in this Form 10-K.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2010</w:t>
      </w:r>
    </w:p>
    <w:p>
      <w:pPr>
        <w:sectPr>
          <w:pgSz w:w="11900" w:h="16838" w:orient="portrait"/>
          <w:cols w:equalWidth="0" w:num="1">
            <w:col w:w="11420"/>
          </w:cols>
          <w:pgMar w:left="240" w:top="243"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31.1</w:t>
      </w:r>
    </w:p>
    <w:p>
      <w:pPr>
        <w:spacing w:after="0" w:line="252"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Edmund C. Reiter, President and Chief Executive Officer of Aware, Inc., certify that:</w:t>
      </w:r>
    </w:p>
    <w:p>
      <w:pPr>
        <w:spacing w:after="0" w:line="252" w:lineRule="exact"/>
        <w:rPr>
          <w:sz w:val="20"/>
          <w:szCs w:val="20"/>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Aware, Inc.;</w:t>
      </w:r>
    </w:p>
    <w:p>
      <w:pPr>
        <w:spacing w:after="0" w:line="252" w:lineRule="exact"/>
        <w:rPr>
          <w:rFonts w:ascii="Arial" w:cs="Arial" w:eastAsia="Arial" w:hAnsi="Arial"/>
          <w:sz w:val="18"/>
          <w:szCs w:val="18"/>
          <w:color w:val="auto"/>
        </w:rPr>
      </w:pPr>
    </w:p>
    <w:p>
      <w:pPr>
        <w:ind w:left="1300" w:hanging="644"/>
        <w:spacing w:after="0" w:line="264"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8" w:lineRule="exact"/>
        <w:rPr>
          <w:rFonts w:ascii="Arial" w:cs="Arial" w:eastAsia="Arial" w:hAnsi="Arial"/>
          <w:sz w:val="18"/>
          <w:szCs w:val="18"/>
          <w:color w:val="auto"/>
        </w:rPr>
      </w:pPr>
    </w:p>
    <w:p>
      <w:pPr>
        <w:ind w:left="1300" w:right="300" w:hanging="644"/>
        <w:spacing w:after="0" w:line="264"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08" w:lineRule="exact"/>
        <w:rPr>
          <w:rFonts w:ascii="Arial" w:cs="Arial" w:eastAsia="Arial" w:hAnsi="Arial"/>
          <w:sz w:val="18"/>
          <w:szCs w:val="18"/>
          <w:color w:val="auto"/>
        </w:rPr>
      </w:pPr>
    </w:p>
    <w:p>
      <w:pPr>
        <w:ind w:left="1300" w:right="20" w:hanging="644"/>
        <w:spacing w:after="0" w:line="264"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8"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5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92" w:lineRule="exact"/>
        <w:rPr>
          <w:rFonts w:ascii="Arial" w:cs="Arial" w:eastAsia="Arial" w:hAnsi="Arial"/>
          <w:sz w:val="17"/>
          <w:szCs w:val="17"/>
          <w:color w:val="auto"/>
        </w:rPr>
      </w:pPr>
    </w:p>
    <w:p>
      <w:pPr>
        <w:ind w:left="1960" w:right="440" w:hanging="655"/>
        <w:spacing w:after="0" w:line="286" w:lineRule="auto"/>
        <w:tabs>
          <w:tab w:leader="none" w:pos="1960" w:val="left"/>
        </w:tabs>
        <w:numPr>
          <w:ilvl w:val="1"/>
          <w:numId w:val="5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2" w:lineRule="exact"/>
        <w:rPr>
          <w:rFonts w:ascii="Arial" w:cs="Arial" w:eastAsia="Arial" w:hAnsi="Arial"/>
          <w:sz w:val="17"/>
          <w:szCs w:val="17"/>
          <w:color w:val="auto"/>
        </w:rPr>
      </w:pPr>
    </w:p>
    <w:p>
      <w:pPr>
        <w:ind w:left="1960" w:right="280" w:hanging="655"/>
        <w:spacing w:after="0" w:line="264" w:lineRule="auto"/>
        <w:tabs>
          <w:tab w:leader="none" w:pos="19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208" w:lineRule="exact"/>
        <w:rPr>
          <w:rFonts w:ascii="Arial" w:cs="Arial" w:eastAsia="Arial" w:hAnsi="Arial"/>
          <w:sz w:val="18"/>
          <w:szCs w:val="18"/>
          <w:color w:val="auto"/>
        </w:rPr>
      </w:pPr>
    </w:p>
    <w:p>
      <w:pPr>
        <w:jc w:val="both"/>
        <w:ind w:left="1960" w:right="500" w:hanging="655"/>
        <w:spacing w:after="0" w:line="312" w:lineRule="auto"/>
        <w:tabs>
          <w:tab w:leader="none" w:pos="1960" w:val="left"/>
        </w:tabs>
        <w:numPr>
          <w:ilvl w:val="1"/>
          <w:numId w:val="56"/>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16"/>
          <w:szCs w:val="16"/>
          <w:color w:val="auto"/>
        </w:rPr>
      </w:pPr>
    </w:p>
    <w:p>
      <w:pPr>
        <w:ind w:left="1300" w:right="580" w:hanging="644"/>
        <w:spacing w:after="0" w:line="264"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08" w:lineRule="exact"/>
        <w:rPr>
          <w:rFonts w:ascii="Arial" w:cs="Arial" w:eastAsia="Arial" w:hAnsi="Arial"/>
          <w:sz w:val="18"/>
          <w:szCs w:val="18"/>
          <w:color w:val="auto"/>
        </w:rPr>
      </w:pPr>
    </w:p>
    <w:p>
      <w:pPr>
        <w:ind w:left="1960" w:right="40" w:hanging="655"/>
        <w:spacing w:after="0" w:line="342" w:lineRule="auto"/>
        <w:tabs>
          <w:tab w:leader="none" w:pos="1960" w:val="left"/>
        </w:tabs>
        <w:numPr>
          <w:ilvl w:val="1"/>
          <w:numId w:val="5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960" w:right="320" w:hanging="655"/>
        <w:spacing w:after="0" w:line="277" w:lineRule="auto"/>
        <w:tabs>
          <w:tab w:leader="none" w:pos="19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Date: February 12, 2010</w:t>
      </w:r>
      <w:r>
        <w:rPr>
          <w:sz w:val="20"/>
          <w:szCs w:val="20"/>
          <w:color w:val="auto"/>
        </w:rPr>
        <w:tab/>
      </w:r>
      <w:r>
        <w:rPr>
          <w:rFonts w:ascii="Arial" w:cs="Arial" w:eastAsia="Arial" w:hAnsi="Arial"/>
          <w:sz w:val="16"/>
          <w:szCs w:val="16"/>
          <w:color w:val="auto"/>
        </w:rPr>
        <w:t>/s/ Edmund C. Reiter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31750</wp:posOffset>
            </wp:positionV>
            <wp:extent cx="608901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89015" cy="17145"/>
                    </a:xfrm>
                    <a:prstGeom prst="rect">
                      <a:avLst/>
                    </a:prstGeom>
                    <a:noFill/>
                  </pic:spPr>
                </pic:pic>
              </a:graphicData>
            </a:graphic>
          </wp:anchor>
        </w:drawing>
      </w:r>
    </w:p>
    <w:p>
      <w:pPr>
        <w:spacing w:after="0" w:line="4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Edmund C. Reiter</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243"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31.2</w:t>
      </w:r>
    </w:p>
    <w:p>
      <w:pPr>
        <w:spacing w:after="0" w:line="252"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Richard P. Moberg, Chief Financial Officer of Aware, Inc., certify that:</w:t>
      </w:r>
    </w:p>
    <w:p>
      <w:pPr>
        <w:spacing w:after="0" w:line="252" w:lineRule="exact"/>
        <w:rPr>
          <w:sz w:val="20"/>
          <w:szCs w:val="20"/>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Aware, Inc.;</w:t>
      </w:r>
    </w:p>
    <w:p>
      <w:pPr>
        <w:spacing w:after="0" w:line="252" w:lineRule="exact"/>
        <w:rPr>
          <w:rFonts w:ascii="Arial" w:cs="Arial" w:eastAsia="Arial" w:hAnsi="Arial"/>
          <w:sz w:val="18"/>
          <w:szCs w:val="18"/>
          <w:color w:val="auto"/>
        </w:rPr>
      </w:pPr>
    </w:p>
    <w:p>
      <w:pPr>
        <w:ind w:left="1300" w:hanging="644"/>
        <w:spacing w:after="0" w:line="264"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8" w:lineRule="exact"/>
        <w:rPr>
          <w:rFonts w:ascii="Arial" w:cs="Arial" w:eastAsia="Arial" w:hAnsi="Arial"/>
          <w:sz w:val="18"/>
          <w:szCs w:val="18"/>
          <w:color w:val="auto"/>
        </w:rPr>
      </w:pPr>
    </w:p>
    <w:p>
      <w:pPr>
        <w:ind w:left="1300" w:right="300" w:hanging="644"/>
        <w:spacing w:after="0" w:line="264"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08" w:lineRule="exact"/>
        <w:rPr>
          <w:rFonts w:ascii="Arial" w:cs="Arial" w:eastAsia="Arial" w:hAnsi="Arial"/>
          <w:sz w:val="18"/>
          <w:szCs w:val="18"/>
          <w:color w:val="auto"/>
        </w:rPr>
      </w:pPr>
    </w:p>
    <w:p>
      <w:pPr>
        <w:ind w:left="1300" w:right="20" w:hanging="644"/>
        <w:spacing w:after="0" w:line="264"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8"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5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92" w:lineRule="exact"/>
        <w:rPr>
          <w:rFonts w:ascii="Arial" w:cs="Arial" w:eastAsia="Arial" w:hAnsi="Arial"/>
          <w:sz w:val="17"/>
          <w:szCs w:val="17"/>
          <w:color w:val="auto"/>
        </w:rPr>
      </w:pPr>
    </w:p>
    <w:p>
      <w:pPr>
        <w:ind w:left="1960" w:right="440" w:hanging="655"/>
        <w:spacing w:after="0" w:line="286" w:lineRule="auto"/>
        <w:tabs>
          <w:tab w:leader="none" w:pos="1960" w:val="left"/>
        </w:tabs>
        <w:numPr>
          <w:ilvl w:val="1"/>
          <w:numId w:val="5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2" w:lineRule="exact"/>
        <w:rPr>
          <w:rFonts w:ascii="Arial" w:cs="Arial" w:eastAsia="Arial" w:hAnsi="Arial"/>
          <w:sz w:val="17"/>
          <w:szCs w:val="17"/>
          <w:color w:val="auto"/>
        </w:rPr>
      </w:pPr>
    </w:p>
    <w:p>
      <w:pPr>
        <w:ind w:left="1960" w:right="280" w:hanging="655"/>
        <w:spacing w:after="0" w:line="264" w:lineRule="auto"/>
        <w:tabs>
          <w:tab w:leader="none" w:pos="19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208" w:lineRule="exact"/>
        <w:rPr>
          <w:rFonts w:ascii="Arial" w:cs="Arial" w:eastAsia="Arial" w:hAnsi="Arial"/>
          <w:sz w:val="18"/>
          <w:szCs w:val="18"/>
          <w:color w:val="auto"/>
        </w:rPr>
      </w:pPr>
    </w:p>
    <w:p>
      <w:pPr>
        <w:jc w:val="both"/>
        <w:ind w:left="1960" w:right="500" w:hanging="655"/>
        <w:spacing w:after="0" w:line="312" w:lineRule="auto"/>
        <w:tabs>
          <w:tab w:leader="none" w:pos="19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16"/>
          <w:szCs w:val="16"/>
          <w:color w:val="auto"/>
        </w:rPr>
      </w:pPr>
    </w:p>
    <w:p>
      <w:pPr>
        <w:ind w:left="1300" w:right="580" w:hanging="644"/>
        <w:spacing w:after="0" w:line="264"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08" w:lineRule="exact"/>
        <w:rPr>
          <w:rFonts w:ascii="Arial" w:cs="Arial" w:eastAsia="Arial" w:hAnsi="Arial"/>
          <w:sz w:val="18"/>
          <w:szCs w:val="18"/>
          <w:color w:val="auto"/>
        </w:rPr>
      </w:pPr>
    </w:p>
    <w:p>
      <w:pPr>
        <w:ind w:left="1960" w:right="40" w:hanging="655"/>
        <w:spacing w:after="0" w:line="342" w:lineRule="auto"/>
        <w:tabs>
          <w:tab w:leader="none" w:pos="19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960" w:right="320" w:hanging="655"/>
        <w:spacing w:after="0" w:line="277" w:lineRule="auto"/>
        <w:tabs>
          <w:tab w:leader="none" w:pos="19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Date: February 12, 2010</w:t>
      </w:r>
      <w:r>
        <w:rPr>
          <w:sz w:val="20"/>
          <w:szCs w:val="20"/>
          <w:color w:val="auto"/>
        </w:rPr>
        <w:tab/>
      </w:r>
      <w:r>
        <w:rPr>
          <w:rFonts w:ascii="Arial" w:cs="Arial" w:eastAsia="Arial" w:hAnsi="Arial"/>
          <w:sz w:val="16"/>
          <w:szCs w:val="16"/>
          <w:color w:val="auto"/>
        </w:rPr>
        <w:t>/s/ Richard P. Moberg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31750</wp:posOffset>
            </wp:positionV>
            <wp:extent cx="608901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89015" cy="17145"/>
                    </a:xfrm>
                    <a:prstGeom prst="rect">
                      <a:avLst/>
                    </a:prstGeom>
                    <a:noFill/>
                  </pic:spPr>
                </pic:pic>
              </a:graphicData>
            </a:graphic>
          </wp:anchor>
        </w:drawing>
      </w:r>
    </w:p>
    <w:p>
      <w:pPr>
        <w:spacing w:after="0" w:line="4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Richard P. Moberg</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243"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32.1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00" w:lineRule="exact"/>
        <w:rPr>
          <w:sz w:val="20"/>
          <w:szCs w:val="20"/>
          <w:color w:val="auto"/>
        </w:rPr>
      </w:pPr>
    </w:p>
    <w:p>
      <w:pPr>
        <w:spacing w:after="0" w:line="2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connection with the Annual Report on Form 10-K of Aware, Inc. (the “Company”) for the year ended December 31, 2009, as filed with the Securities and Exchange Commission on the date hereof (the “Report”), each of the undersigned Chief Executive Officer and Chief Financial Officer of the Company, certifies, to the best knowledge and belief of the signatory, pursuant to 18 U.S.C. §1350, as adopted pursuant to Section 906 of the Sarbanes-Oxley Act of 2002, that:</w:t>
      </w:r>
    </w:p>
    <w:p>
      <w:pPr>
        <w:spacing w:after="0" w:line="214" w:lineRule="exact"/>
        <w:rPr>
          <w:sz w:val="20"/>
          <w:szCs w:val="20"/>
          <w:color w:val="auto"/>
        </w:rPr>
      </w:pPr>
    </w:p>
    <w:p>
      <w:pPr>
        <w:ind w:left="1160" w:hanging="570"/>
        <w:spacing w:after="0"/>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160" w:hanging="570"/>
        <w:spacing w:after="0" w:line="277" w:lineRule="auto"/>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80" w:type="dxa"/>
            <w:vAlign w:val="bottom"/>
          </w:tcPr>
          <w:p>
            <w:pPr>
              <w:spacing w:after="0"/>
              <w:rPr>
                <w:sz w:val="20"/>
                <w:szCs w:val="20"/>
                <w:color w:val="auto"/>
              </w:rPr>
            </w:pPr>
            <w:r>
              <w:rPr>
                <w:rFonts w:ascii="Arial" w:cs="Arial" w:eastAsia="Arial" w:hAnsi="Arial"/>
                <w:sz w:val="18"/>
                <w:szCs w:val="18"/>
                <w:color w:val="auto"/>
              </w:rPr>
              <w:t>/s/ Edmund C. Reiter</w:t>
            </w:r>
          </w:p>
        </w:tc>
        <w:tc>
          <w:tcPr>
            <w:tcW w:w="7180" w:type="dxa"/>
            <w:vAlign w:val="bottom"/>
            <w:gridSpan w:val="2"/>
          </w:tcPr>
          <w:p>
            <w:pPr>
              <w:ind w:left="3660"/>
              <w:spacing w:after="0"/>
              <w:rPr>
                <w:sz w:val="20"/>
                <w:szCs w:val="20"/>
                <w:color w:val="auto"/>
              </w:rPr>
            </w:pPr>
            <w:r>
              <w:rPr>
                <w:rFonts w:ascii="Arial" w:cs="Arial" w:eastAsia="Arial" w:hAnsi="Arial"/>
                <w:sz w:val="18"/>
                <w:szCs w:val="18"/>
                <w:color w:val="auto"/>
              </w:rPr>
              <w:t>/s/ Richard P. Moberg</w:t>
            </w:r>
          </w:p>
        </w:tc>
      </w:tr>
      <w:tr>
        <w:trPr>
          <w:trHeight w:val="202"/>
        </w:trPr>
        <w:tc>
          <w:tcPr>
            <w:tcW w:w="28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Edmund C. Reiter</w:t>
            </w:r>
          </w:p>
        </w:tc>
        <w:tc>
          <w:tcPr>
            <w:tcW w:w="3660" w:type="dxa"/>
            <w:vAlign w:val="bottom"/>
          </w:tcPr>
          <w:p>
            <w:pPr>
              <w:spacing w:after="0"/>
              <w:rPr>
                <w:sz w:val="17"/>
                <w:szCs w:val="17"/>
                <w:color w:val="auto"/>
              </w:rPr>
            </w:pPr>
          </w:p>
        </w:tc>
        <w:tc>
          <w:tcPr>
            <w:tcW w:w="35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Richard P. Moberg</w:t>
            </w: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w w:val="95"/>
              </w:rPr>
              <w:t>President and Chief Executive Officer</w:t>
            </w:r>
          </w:p>
        </w:tc>
        <w:tc>
          <w:tcPr>
            <w:tcW w:w="7180" w:type="dxa"/>
            <w:vAlign w:val="bottom"/>
            <w:gridSpan w:val="2"/>
          </w:tcPr>
          <w:p>
            <w:pPr>
              <w:ind w:left="3660"/>
              <w:spacing w:after="0"/>
              <w:rPr>
                <w:sz w:val="20"/>
                <w:szCs w:val="20"/>
                <w:color w:val="auto"/>
              </w:rPr>
            </w:pPr>
            <w:r>
              <w:rPr>
                <w:rFonts w:ascii="Arial" w:cs="Arial" w:eastAsia="Arial" w:hAnsi="Arial"/>
                <w:sz w:val="18"/>
                <w:szCs w:val="18"/>
                <w:color w:val="auto"/>
              </w:rPr>
              <w:t>Chief Financial Officer</w:t>
            </w:r>
          </w:p>
        </w:tc>
      </w:tr>
      <w:tr>
        <w:trPr>
          <w:trHeight w:val="432"/>
        </w:trPr>
        <w:tc>
          <w:tcPr>
            <w:tcW w:w="2880" w:type="dxa"/>
            <w:vAlign w:val="bottom"/>
          </w:tcPr>
          <w:p>
            <w:pPr>
              <w:spacing w:after="0"/>
              <w:rPr>
                <w:sz w:val="20"/>
                <w:szCs w:val="20"/>
                <w:color w:val="auto"/>
              </w:rPr>
            </w:pPr>
            <w:r>
              <w:rPr>
                <w:rFonts w:ascii="Arial" w:cs="Arial" w:eastAsia="Arial" w:hAnsi="Arial"/>
                <w:sz w:val="18"/>
                <w:szCs w:val="18"/>
                <w:color w:val="auto"/>
              </w:rPr>
              <w:t>Date: February 12, 2010</w:t>
            </w:r>
          </w:p>
        </w:tc>
        <w:tc>
          <w:tcPr>
            <w:tcW w:w="7180" w:type="dxa"/>
            <w:vAlign w:val="bottom"/>
            <w:gridSpan w:val="2"/>
          </w:tcPr>
          <w:p>
            <w:pPr>
              <w:ind w:left="3660"/>
              <w:spacing w:after="0"/>
              <w:rPr>
                <w:sz w:val="20"/>
                <w:szCs w:val="20"/>
                <w:color w:val="auto"/>
              </w:rPr>
            </w:pPr>
            <w:r>
              <w:rPr>
                <w:rFonts w:ascii="Arial" w:cs="Arial" w:eastAsia="Arial" w:hAnsi="Arial"/>
                <w:sz w:val="18"/>
                <w:szCs w:val="18"/>
                <w:color w:val="auto"/>
              </w:rPr>
              <w:t>Date: February 12, 2010</w:t>
            </w:r>
          </w:p>
        </w:tc>
      </w:tr>
    </w:tbl>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Form 10-K or as a separate disclosure document of the Company or the certifying officers.</w:t>
      </w:r>
    </w:p>
    <w:sectPr>
      <w:pgSz w:w="11900" w:h="16838" w:orient="portrait"/>
      <w:cols w:equalWidth="0" w:num="1">
        <w:col w:w="11420"/>
      </w:cols>
      <w:pgMar w:left="240" w:top="2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1."/>
      <w:numFmt w:val="decimal"/>
      <w:start w:val="1"/>
    </w:lvl>
  </w:abstractNum>
  <w:abstractNum w:abstractNumId="12">
    <w:nsid w:val="440BADFC"/>
    <w:multiLevelType w:val="hybridMultilevel"/>
    <w:lvl w:ilvl="0">
      <w:lvlJc w:val="left"/>
      <w:lvlText w:val="(%1)"/>
      <w:numFmt w:val="decimal"/>
      <w:start w:val="1"/>
    </w:lvl>
  </w:abstractNum>
  <w:abstractNum w:abstractNumId="13">
    <w:nsid w:val="5072367"/>
    <w:multiLevelType w:val="hybridMultilevel"/>
    <w:lvl w:ilvl="0">
      <w:lvlJc w:val="left"/>
      <w:lvlText w:val="%1)"/>
      <w:numFmt w:val="lowerRoman"/>
      <w:start w:val="1"/>
    </w:lvl>
  </w:abstractNum>
  <w:abstractNum w:abstractNumId="14">
    <w:nsid w:val="3804823E"/>
    <w:multiLevelType w:val="hybridMultilevel"/>
    <w:lvl w:ilvl="0">
      <w:lvlJc w:val="left"/>
      <w:lvlText w:val="%1)"/>
      <w:numFmt w:val="lowerRoman"/>
      <w:start w:val="3"/>
    </w:lvl>
  </w:abstractNum>
  <w:abstractNum w:abstractNumId="15">
    <w:nsid w:val="77465F01"/>
    <w:multiLevelType w:val="hybridMultilevel"/>
    <w:lvl w:ilvl="0">
      <w:lvlJc w:val="left"/>
      <w:lvlText w:val="%1."/>
      <w:numFmt w:val="decimal"/>
      <w:start w:val="25"/>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1."/>
      <w:numFmt w:val="decimal"/>
      <w:start w:val="1"/>
    </w:lvl>
  </w:abstractNum>
  <w:abstractNum w:abstractNumId="19">
    <w:nsid w:val="5E884ADC"/>
    <w:multiLevelType w:val="hybridMultilevel"/>
    <w:lvl w:ilvl="0">
      <w:lvlJc w:val="left"/>
      <w:lvlText w:val="%1."/>
      <w:numFmt w:val="decimal"/>
      <w:start w:val="2"/>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1."/>
      <w:numFmt w:val="decimal"/>
      <w:start w:val="4"/>
    </w:lvl>
  </w:abstractNum>
  <w:abstractNum w:abstractNumId="22">
    <w:nsid w:val="580BD78F"/>
    <w:multiLevelType w:val="hybridMultilevel"/>
    <w:lvl w:ilvl="0">
      <w:lvlJc w:val="left"/>
      <w:lvlText w:val="%1."/>
      <w:numFmt w:val="decimal"/>
      <w:start w:val="7"/>
    </w:lvl>
  </w:abstractNum>
  <w:abstractNum w:abstractNumId="23">
    <w:nsid w:val="153EA438"/>
    <w:multiLevelType w:val="hybridMultilevel"/>
    <w:lvl w:ilvl="0">
      <w:lvlJc w:val="left"/>
      <w:lvlText w:val="(%1)"/>
      <w:numFmt w:val="decimal"/>
      <w:start w:val="1"/>
    </w:lvl>
  </w:abstractNum>
  <w:abstractNum w:abstractNumId="24">
    <w:nsid w:val="3855585C"/>
    <w:multiLevelType w:val="hybridMultilevel"/>
    <w:lvl w:ilvl="0">
      <w:lvlJc w:val="left"/>
      <w:lvlText w:val="(%1)"/>
      <w:numFmt w:val="decimal"/>
      <w:start w:val="3"/>
    </w:lvl>
  </w:abstractNum>
  <w:abstractNum w:abstractNumId="25">
    <w:nsid w:val="70A64E2A"/>
    <w:multiLevelType w:val="hybridMultilevel"/>
    <w:lvl w:ilvl="0">
      <w:lvlJc w:val="left"/>
      <w:lvlText w:val="%1."/>
      <w:numFmt w:val="decimal"/>
      <w:start w:val="8"/>
    </w:lvl>
  </w:abstractNum>
  <w:abstractNum w:abstractNumId="26">
    <w:nsid w:val="6A2342EC"/>
    <w:multiLevelType w:val="hybridMultilevel"/>
    <w:lvl w:ilvl="0">
      <w:lvlJc w:val="left"/>
      <w:lvlText w:val="%1."/>
      <w:numFmt w:val="decimal"/>
      <w:start w:val="9"/>
    </w:lvl>
  </w:abstractNum>
  <w:abstractNum w:abstractNumId="27">
    <w:nsid w:val="2A487CB0"/>
    <w:multiLevelType w:val="hybridMultilevel"/>
    <w:lvl w:ilvl="0">
      <w:lvlJc w:val="left"/>
      <w:lvlText w:val="%1."/>
      <w:numFmt w:val="decimal"/>
      <w:start w:val="10"/>
    </w:lvl>
  </w:abstractNum>
  <w:abstractNum w:abstractNumId="28">
    <w:nsid w:val="1D4ED43B"/>
    <w:multiLevelType w:val="hybridMultilevel"/>
    <w:lvl w:ilvl="0">
      <w:lvlJc w:val="left"/>
      <w:lvlText w:val="%1."/>
      <w:numFmt w:val="decimal"/>
      <w:start w:val="12"/>
    </w:lvl>
  </w:abstractNum>
  <w:abstractNum w:abstractNumId="29">
    <w:nsid w:val="725A06FB"/>
    <w:multiLevelType w:val="hybridMultilevel"/>
    <w:lvl w:ilvl="0">
      <w:lvlJc w:val="left"/>
      <w:lvlText w:val="%1."/>
      <w:numFmt w:val="decimal"/>
      <w:start w:val="13"/>
    </w:lvl>
  </w:abstractNum>
  <w:abstractNum w:abstractNumId="30">
    <w:nsid w:val="2CD89A32"/>
    <w:multiLevelType w:val="hybridMultilevel"/>
    <w:lvl w:ilvl="0">
      <w:lvlJc w:val="left"/>
      <w:lvlText w:val="(%1)"/>
      <w:numFmt w:val="lowerLetter"/>
      <w:start w:val="1"/>
    </w:lvl>
  </w:abstractNum>
  <w:abstractNum w:abstractNumId="31">
    <w:nsid w:val="57E4CCAF"/>
    <w:multiLevelType w:val="hybridMultilevel"/>
    <w:lvl w:ilvl="0">
      <w:lvlJc w:val="left"/>
      <w:lvlText w:val="(%1)"/>
      <w:numFmt w:val="lowerLetter"/>
      <w:start w:val="1"/>
    </w:lvl>
    <w:lvl w:ilvl="1">
      <w:lvlJc w:val="left"/>
      <w:lvlText w:val="(%2)"/>
      <w:numFmt w:val="lowerRoman"/>
      <w:start w:val="1"/>
    </w:lvl>
  </w:abstractNum>
  <w:abstractNum w:abstractNumId="32">
    <w:nsid w:val="7A6D8D3C"/>
    <w:multiLevelType w:val="hybridMultilevel"/>
    <w:lvl w:ilvl="0">
      <w:lvlJc w:val="left"/>
      <w:lvlText w:val="(%1)"/>
      <w:numFmt w:val="lowerRoman"/>
      <w:start w:val="3"/>
    </w:lvl>
  </w:abstractNum>
  <w:abstractNum w:abstractNumId="33">
    <w:nsid w:val="4B588F54"/>
    <w:multiLevelType w:val="hybridMultilevel"/>
    <w:lvl w:ilvl="0">
      <w:lvlJc w:val="left"/>
      <w:lvlText w:val="(%1)"/>
      <w:numFmt w:val="lowerLetter"/>
      <w:start w:val="1"/>
    </w:lvl>
  </w:abstractNum>
  <w:abstractNum w:abstractNumId="34">
    <w:nsid w:val="542289EC"/>
    <w:multiLevelType w:val="hybridMultilevel"/>
    <w:lvl w:ilvl="0">
      <w:lvlJc w:val="left"/>
      <w:lvlText w:val="(%1)"/>
      <w:numFmt w:val="lowerRoman"/>
      <w:start w:val="1"/>
    </w:lvl>
  </w:abstractNum>
  <w:abstractNum w:abstractNumId="35">
    <w:nsid w:val="6DE91B18"/>
    <w:multiLevelType w:val="hybridMultilevel"/>
    <w:lvl w:ilvl="0">
      <w:lvlJc w:val="left"/>
      <w:lvlText w:val="(%1)"/>
      <w:numFmt w:val="lowerLetter"/>
      <w:start w:val="1"/>
    </w:lvl>
    <w:lvl w:ilvl="1">
      <w:lvlJc w:val="left"/>
      <w:lvlText w:val="(%2)"/>
      <w:numFmt w:val="lowerRoman"/>
      <w:start w:val="1"/>
    </w:lvl>
  </w:abstractNum>
  <w:abstractNum w:abstractNumId="36">
    <w:nsid w:val="38437FDB"/>
    <w:multiLevelType w:val="hybridMultilevel"/>
    <w:lvl w:ilvl="0">
      <w:lvlJc w:val="left"/>
      <w:lvlText w:val="%1"/>
      <w:numFmt w:val="lowerLetter"/>
      <w:start w:val="1"/>
    </w:lvl>
    <w:lvl w:ilvl="1">
      <w:lvlJc w:val="left"/>
      <w:lvlText w:val="(%2)"/>
      <w:numFmt w:val="lowerRoman"/>
      <w:start w:val="5"/>
    </w:lvl>
  </w:abstractNum>
  <w:abstractNum w:abstractNumId="37">
    <w:nsid w:val="7644A45C"/>
    <w:multiLevelType w:val="hybridMultilevel"/>
    <w:lvl w:ilvl="0">
      <w:lvlJc w:val="left"/>
      <w:lvlText w:val="(%1)"/>
      <w:numFmt w:val="lowerLetter"/>
      <w:start w:val="5"/>
    </w:lvl>
    <w:lvl w:ilvl="1">
      <w:lvlJc w:val="left"/>
      <w:lvlText w:val="%2"/>
      <w:numFmt w:val="lowerRoman"/>
      <w:start w:val="1"/>
    </w:lvl>
  </w:abstractNum>
  <w:abstractNum w:abstractNumId="38">
    <w:nsid w:val="32FFF902"/>
    <w:multiLevelType w:val="hybridMultilevel"/>
    <w:lvl w:ilvl="0">
      <w:lvlJc w:val="left"/>
      <w:lvlText w:val="(%1)"/>
      <w:numFmt w:val="lowerLetter"/>
      <w:start w:val="1"/>
    </w:lvl>
    <w:lvl w:ilvl="1">
      <w:lvlJc w:val="left"/>
      <w:lvlText w:val="(%2)"/>
      <w:numFmt w:val="lowerRoman"/>
      <w:start w:val="1"/>
    </w:lvl>
  </w:abstractNum>
  <w:abstractNum w:abstractNumId="39">
    <w:nsid w:val="684A481A"/>
    <w:multiLevelType w:val="hybridMultilevel"/>
    <w:lvl w:ilvl="0">
      <w:lvlJc w:val="left"/>
      <w:lvlText w:val="%1"/>
      <w:numFmt w:val="lowerLetter"/>
      <w:start w:val="1"/>
    </w:lvl>
    <w:lvl w:ilvl="1">
      <w:lvlJc w:val="left"/>
      <w:lvlText w:val="(%2)"/>
      <w:numFmt w:val="lowerRoman"/>
      <w:start w:val="4"/>
    </w:lvl>
  </w:abstractNum>
  <w:abstractNum w:abstractNumId="40">
    <w:nsid w:val="579478FE"/>
    <w:multiLevelType w:val="hybridMultilevel"/>
    <w:lvl w:ilvl="0">
      <w:lvlJc w:val="left"/>
      <w:lvlText w:val="(%1)"/>
      <w:numFmt w:val="lowerLetter"/>
      <w:start w:val="4"/>
    </w:lvl>
    <w:lvl w:ilvl="1">
      <w:lvlJc w:val="left"/>
      <w:lvlText w:val="%2"/>
      <w:numFmt w:val="lowerRoman"/>
      <w:start w:val="1"/>
    </w:lvl>
  </w:abstractNum>
  <w:abstractNum w:abstractNumId="41">
    <w:nsid w:val="749ABB43"/>
    <w:multiLevelType w:val="hybridMultilevel"/>
    <w:lvl w:ilvl="0">
      <w:lvlJc w:val="left"/>
      <w:lvlText w:val="(%1)"/>
      <w:numFmt w:val="lowerLetter"/>
      <w:start w:val="1"/>
    </w:lvl>
  </w:abstractNum>
  <w:abstractNum w:abstractNumId="42">
    <w:nsid w:val="3DC240FB"/>
    <w:multiLevelType w:val="hybridMultilevel"/>
    <w:lvl w:ilvl="0">
      <w:lvlJc w:val="left"/>
      <w:lvlText w:val="(%1)"/>
      <w:numFmt w:val="lowerLetter"/>
      <w:start w:val="9"/>
    </w:lvl>
  </w:abstractNum>
  <w:abstractNum w:abstractNumId="43">
    <w:nsid w:val="1BA026FA"/>
    <w:multiLevelType w:val="hybridMultilevel"/>
    <w:lvl w:ilvl="0">
      <w:lvlJc w:val="left"/>
      <w:lvlText w:val="(%1)"/>
      <w:numFmt w:val="lowerLetter"/>
      <w:start w:val="1"/>
    </w:lvl>
  </w:abstractNum>
  <w:abstractNum w:abstractNumId="44">
    <w:nsid w:val="79A1DEAA"/>
    <w:multiLevelType w:val="hybridMultilevel"/>
    <w:lvl w:ilvl="0">
      <w:lvlJc w:val="left"/>
      <w:lvlText w:val="(%1)"/>
      <w:numFmt w:val="lowerLetter"/>
      <w:start w:val="1"/>
    </w:lvl>
  </w:abstractNum>
  <w:abstractNum w:abstractNumId="45">
    <w:nsid w:val="75C6C33A"/>
    <w:multiLevelType w:val="hybridMultilevel"/>
    <w:lvl w:ilvl="0">
      <w:lvlJc w:val="left"/>
      <w:lvlText w:val="(%1)"/>
      <w:numFmt w:val="lowerLetter"/>
      <w:start w:val="6"/>
    </w:lvl>
  </w:abstractNum>
  <w:abstractNum w:abstractNumId="46">
    <w:nsid w:val="12E685FB"/>
    <w:multiLevelType w:val="hybridMultilevel"/>
    <w:lvl w:ilvl="0">
      <w:lvlJc w:val="left"/>
      <w:lvlText w:val="(%1)"/>
      <w:numFmt w:val="lowerLetter"/>
      <w:start w:val="1"/>
    </w:lvl>
  </w:abstractNum>
  <w:abstractNum w:abstractNumId="47">
    <w:nsid w:val="70C6A529"/>
    <w:multiLevelType w:val="hybridMultilevel"/>
    <w:lvl w:ilvl="0">
      <w:lvlJc w:val="left"/>
      <w:lvlText w:val="(%1)"/>
      <w:numFmt w:val="lowerLetter"/>
      <w:start w:val="6"/>
    </w:lvl>
  </w:abstractNum>
  <w:abstractNum w:abstractNumId="48">
    <w:nsid w:val="520EEDD1"/>
    <w:multiLevelType w:val="hybridMultilevel"/>
    <w:lvl w:ilvl="0">
      <w:lvlJc w:val="left"/>
      <w:lvlText w:val="(%1)"/>
      <w:numFmt w:val="lowerLetter"/>
      <w:start w:val="1"/>
    </w:lvl>
  </w:abstractNum>
  <w:abstractNum w:abstractNumId="49">
    <w:nsid w:val="374A3FE6"/>
    <w:multiLevelType w:val="hybridMultilevel"/>
    <w:lvl w:ilvl="0">
      <w:lvlJc w:val="left"/>
      <w:lvlText w:val="(%1)"/>
      <w:numFmt w:val="lowerLetter"/>
      <w:start w:val="1"/>
    </w:lvl>
    <w:lvl w:ilvl="1">
      <w:lvlJc w:val="left"/>
      <w:lvlText w:val="(%2)"/>
      <w:numFmt w:val="lowerRoman"/>
      <w:start w:val="1"/>
    </w:lvl>
  </w:abstractNum>
  <w:abstractNum w:abstractNumId="50">
    <w:nsid w:val="4F4EF005"/>
    <w:multiLevelType w:val="hybridMultilevel"/>
    <w:lvl w:ilvl="0">
      <w:lvlJc w:val="left"/>
      <w:lvlText w:val="(%1)"/>
      <w:numFmt w:val="lowerLetter"/>
      <w:start w:val="3"/>
    </w:lvl>
    <w:lvl w:ilvl="1">
      <w:lvlJc w:val="left"/>
      <w:lvlText w:val="(%2)"/>
      <w:numFmt w:val="lowerRoman"/>
      <w:start w:val="1"/>
    </w:lvl>
  </w:abstractNum>
  <w:abstractNum w:abstractNumId="51">
    <w:nsid w:val="23F9C13C"/>
    <w:multiLevelType w:val="hybridMultilevel"/>
    <w:lvl w:ilvl="0">
      <w:lvlJc w:val="left"/>
      <w:lvlText w:val="(%1)"/>
      <w:numFmt w:val="lowerLetter"/>
      <w:start w:val="35"/>
    </w:lvl>
    <w:lvl w:ilvl="1">
      <w:lvlJc w:val="left"/>
      <w:lvlText w:val="(%2)"/>
      <w:numFmt w:val="lowerLetter"/>
      <w:start w:val="1"/>
    </w:lvl>
  </w:abstractNum>
  <w:abstractNum w:abstractNumId="52">
    <w:nsid w:val="649BB77C"/>
    <w:multiLevelType w:val="hybridMultilevel"/>
    <w:lvl w:ilvl="0">
      <w:lvlJc w:val="left"/>
      <w:lvlText w:val="(%1)"/>
      <w:numFmt w:val="lowerLetter"/>
      <w:start w:val="2"/>
    </w:lvl>
  </w:abstractNum>
  <w:abstractNum w:abstractNumId="53">
    <w:nsid w:val="275AC794"/>
    <w:multiLevelType w:val="hybridMultilevel"/>
    <w:lvl w:ilvl="0">
      <w:lvlJc w:val="left"/>
      <w:lvlText w:val="(%1)"/>
      <w:numFmt w:val="lowerLetter"/>
      <w:start w:val="4"/>
    </w:lvl>
  </w:abstractNum>
  <w:abstractNum w:abstractNumId="54">
    <w:nsid w:val="39386575"/>
    <w:multiLevelType w:val="hybridMultilevel"/>
    <w:lvl w:ilvl="0">
      <w:lvlJc w:val="left"/>
      <w:lvlText w:val="(%1)"/>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2019-12-10T14:50:36Z</dcterms:created>
  <dcterms:modified xsi:type="dcterms:W3CDTF">2019-12-10T14:50:36Z</dcterms:modified>
</cp:coreProperties>
</file>