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214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19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04-2911026</w:t>
            </w:r>
          </w:p>
        </w:tc>
        <w:tc>
          <w:tcPr>
            <w:tcW w:w="840" w:type="dxa"/>
            <w:vAlign w:val="bottom"/>
          </w:tcPr>
          <w:p>
            <w:pPr>
              <w:spacing w:after="0"/>
              <w:rPr>
                <w:sz w:val="20"/>
                <w:szCs w:val="20"/>
                <w:color w:val="auto"/>
              </w:rPr>
            </w:pPr>
          </w:p>
        </w:tc>
      </w:tr>
      <w:tr>
        <w:trPr>
          <w:trHeight w:val="202"/>
        </w:trPr>
        <w:tc>
          <w:tcPr>
            <w:tcW w:w="3560" w:type="dxa"/>
            <w:vAlign w:val="bottom"/>
            <w:gridSpan w:val="3"/>
          </w:tcPr>
          <w:p>
            <w:pPr>
              <w:jc w:val="center"/>
              <w:ind w:right="1360"/>
              <w:spacing w:after="0" w:line="201" w:lineRule="exact"/>
              <w:rPr>
                <w:sz w:val="20"/>
                <w:szCs w:val="20"/>
                <w:color w:val="auto"/>
              </w:rPr>
            </w:pPr>
            <w:r>
              <w:rPr>
                <w:rFonts w:ascii="Arial" w:cs="Arial" w:eastAsia="Arial" w:hAnsi="Arial"/>
                <w:sz w:val="18"/>
                <w:szCs w:val="18"/>
                <w:color w:val="auto"/>
                <w:w w:val="92"/>
              </w:rPr>
              <w:t>(State or Other Jurisdiction of</w:t>
            </w:r>
          </w:p>
        </w:tc>
        <w:tc>
          <w:tcPr>
            <w:tcW w:w="3980" w:type="dxa"/>
            <w:vAlign w:val="bottom"/>
            <w:gridSpan w:val="3"/>
          </w:tcPr>
          <w:p>
            <w:pPr>
              <w:jc w:val="center"/>
              <w:ind w:left="127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60" w:type="dxa"/>
            <w:vAlign w:val="bottom"/>
            <w:gridSpan w:val="3"/>
          </w:tcPr>
          <w:p>
            <w:pPr>
              <w:jc w:val="center"/>
              <w:ind w:right="1340"/>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25"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040" w:type="dxa"/>
            <w:vAlign w:val="bottom"/>
            <w:gridSpan w:val="2"/>
          </w:tcPr>
          <w:p>
            <w:pPr>
              <w:ind w:left="260"/>
              <w:spacing w:after="0"/>
              <w:rPr>
                <w:sz w:val="20"/>
                <w:szCs w:val="20"/>
                <w:color w:val="auto"/>
              </w:rPr>
            </w:pPr>
            <w:r>
              <w:rPr>
                <w:rFonts w:ascii="Arial" w:cs="Arial" w:eastAsia="Arial" w:hAnsi="Arial"/>
                <w:sz w:val="18"/>
                <w:szCs w:val="18"/>
                <w:color w:val="auto"/>
              </w:rPr>
              <w:t>Accelerated Filer x</w:t>
            </w:r>
          </w:p>
        </w:tc>
        <w:tc>
          <w:tcPr>
            <w:tcW w:w="2020" w:type="dxa"/>
            <w:vAlign w:val="bottom"/>
          </w:tcPr>
          <w:p>
            <w:pPr>
              <w:ind w:left="40"/>
              <w:spacing w:after="0"/>
              <w:rPr>
                <w:sz w:val="20"/>
                <w:szCs w:val="20"/>
                <w:color w:val="auto"/>
              </w:rPr>
            </w:pPr>
            <w:r>
              <w:rPr>
                <w:rFonts w:ascii="Arial" w:cs="Arial" w:eastAsia="Arial" w:hAnsi="Arial"/>
                <w:sz w:val="18"/>
                <w:szCs w:val="18"/>
                <w:color w:val="auto"/>
              </w:rPr>
              <w:t>Non-Accelerated Filer o</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Smaller Reporting Company o</w:t>
            </w: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5"/>
        </w:trPr>
        <w:tc>
          <w:tcPr>
            <w:tcW w:w="8980" w:type="dxa"/>
            <w:vAlign w:val="bottom"/>
            <w:gridSpan w:val="6"/>
          </w:tcPr>
          <w:p>
            <w:pPr>
              <w:spacing w:after="0"/>
              <w:rPr>
                <w:sz w:val="20"/>
                <w:szCs w:val="20"/>
                <w:color w:val="auto"/>
              </w:rPr>
            </w:pPr>
            <w:r>
              <w:rPr>
                <w:rFonts w:ascii="Arial" w:cs="Arial" w:eastAsia="Arial" w:hAnsi="Arial"/>
                <w:sz w:val="18"/>
                <w:szCs w:val="18"/>
                <w:color w:val="auto"/>
                <w:w w:val="93"/>
              </w:rPr>
              <w:t>Indicate by check mark whether the registrant is a shell company (as defined in Rule 12b-2 of the Exchange Act). YES o</w:t>
            </w:r>
          </w:p>
        </w:tc>
        <w:tc>
          <w:tcPr>
            <w:tcW w:w="1120" w:type="dxa"/>
            <w:vAlign w:val="bottom"/>
          </w:tcPr>
          <w:p>
            <w:pPr>
              <w:ind w:left="220"/>
              <w:spacing w:after="0"/>
              <w:rPr>
                <w:sz w:val="20"/>
                <w:szCs w:val="20"/>
                <w:color w:val="auto"/>
              </w:rPr>
            </w:pPr>
            <w:r>
              <w:rPr>
                <w:rFonts w:ascii="Arial" w:cs="Arial" w:eastAsia="Arial" w:hAnsi="Arial"/>
                <w:sz w:val="18"/>
                <w:szCs w:val="18"/>
                <w:color w:val="auto"/>
              </w:rPr>
              <w:t>NO x</w:t>
            </w:r>
          </w:p>
        </w:tc>
        <w:tc>
          <w:tcPr>
            <w:tcW w:w="1320" w:type="dxa"/>
            <w:vAlign w:val="bottom"/>
          </w:tcPr>
          <w:p>
            <w:pPr>
              <w:spacing w:after="0"/>
              <w:rPr>
                <w:sz w:val="24"/>
                <w:szCs w:val="24"/>
                <w:color w:val="auto"/>
              </w:rPr>
            </w:pPr>
          </w:p>
        </w:tc>
      </w:tr>
      <w:tr>
        <w:trPr>
          <w:trHeight w:val="459"/>
        </w:trPr>
        <w:tc>
          <w:tcPr>
            <w:tcW w:w="898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the issuer’s common stock as of July 22, 2013:</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9"/>
        </w:trPr>
        <w:tc>
          <w:tcPr>
            <w:tcW w:w="2040" w:type="dxa"/>
            <w:vAlign w:val="bottom"/>
          </w:tcPr>
          <w:p>
            <w:pPr>
              <w:spacing w:after="0"/>
              <w:rPr>
                <w:sz w:val="24"/>
                <w:szCs w:val="2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Class</w:t>
            </w: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5"/>
              </w:rPr>
              <w:t>Number of Shares Outstanding</w:t>
            </w:r>
          </w:p>
        </w:tc>
        <w:tc>
          <w:tcPr>
            <w:tcW w:w="1320" w:type="dxa"/>
            <w:vAlign w:val="bottom"/>
          </w:tcPr>
          <w:p>
            <w:pPr>
              <w:spacing w:after="0"/>
              <w:rPr>
                <w:sz w:val="24"/>
                <w:szCs w:val="24"/>
                <w:color w:val="auto"/>
              </w:rPr>
            </w:pPr>
          </w:p>
        </w:tc>
      </w:tr>
      <w:tr>
        <w:trPr>
          <w:trHeight w:val="230"/>
        </w:trPr>
        <w:tc>
          <w:tcPr>
            <w:tcW w:w="2600" w:type="dxa"/>
            <w:vAlign w:val="bottom"/>
            <w:gridSpan w:val="2"/>
          </w:tcPr>
          <w:p>
            <w:pPr>
              <w:ind w:left="1020"/>
              <w:spacing w:after="0"/>
              <w:rPr>
                <w:sz w:val="20"/>
                <w:szCs w:val="20"/>
                <w:color w:val="auto"/>
              </w:rPr>
            </w:pPr>
            <w:r>
              <w:rPr>
                <w:rFonts w:ascii="Arial" w:cs="Arial" w:eastAsia="Arial" w:hAnsi="Arial"/>
                <w:sz w:val="18"/>
                <w:szCs w:val="18"/>
                <w:color w:val="auto"/>
                <w:w w:val="98"/>
              </w:rPr>
              <w:t>Common Stock, par</w:t>
            </w:r>
          </w:p>
        </w:tc>
        <w:tc>
          <w:tcPr>
            <w:tcW w:w="1480" w:type="dxa"/>
            <w:vAlign w:val="bottom"/>
          </w:tcPr>
          <w:p>
            <w:pPr>
              <w:spacing w:after="0"/>
              <w:rPr>
                <w:sz w:val="20"/>
                <w:szCs w:val="20"/>
                <w:color w:val="auto"/>
              </w:rPr>
            </w:pPr>
            <w:r>
              <w:rPr>
                <w:rFonts w:ascii="Arial" w:cs="Arial" w:eastAsia="Arial" w:hAnsi="Arial"/>
                <w:sz w:val="18"/>
                <w:szCs w:val="18"/>
                <w:color w:val="auto"/>
                <w:w w:val="83"/>
              </w:rPr>
              <w:t>value $0.01 per share</w:t>
            </w: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40" w:type="dxa"/>
            <w:vAlign w:val="bottom"/>
            <w:gridSpan w:val="2"/>
          </w:tcPr>
          <w:p>
            <w:pPr>
              <w:ind w:left="800"/>
              <w:spacing w:after="0"/>
              <w:rPr>
                <w:sz w:val="20"/>
                <w:szCs w:val="20"/>
                <w:color w:val="auto"/>
              </w:rPr>
            </w:pPr>
            <w:r>
              <w:rPr>
                <w:rFonts w:ascii="Arial" w:cs="Arial" w:eastAsia="Arial" w:hAnsi="Arial"/>
                <w:sz w:val="18"/>
                <w:szCs w:val="18"/>
                <w:color w:val="auto"/>
              </w:rPr>
              <w:t>22,570,731 shares</w:t>
            </w:r>
          </w:p>
        </w:tc>
        <w:tc>
          <w:tcPr>
            <w:tcW w:w="1320" w:type="dxa"/>
            <w:vAlign w:val="bottom"/>
          </w:tcPr>
          <w:p>
            <w:pPr>
              <w:spacing w:after="0"/>
              <w:rPr>
                <w:sz w:val="20"/>
                <w:szCs w:val="20"/>
                <w:color w:val="auto"/>
              </w:rPr>
            </w:pPr>
          </w:p>
        </w:tc>
      </w:tr>
      <w:tr>
        <w:trPr>
          <w:trHeight w:val="104"/>
        </w:trPr>
        <w:tc>
          <w:tcPr>
            <w:tcW w:w="2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71"/>
        </w:trPr>
        <w:tc>
          <w:tcPr>
            <w:tcW w:w="2040" w:type="dxa"/>
            <w:vAlign w:val="bottom"/>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1480" w:type="dxa"/>
            <w:vAlign w:val="bottom"/>
            <w:shd w:val="clear" w:color="auto" w:fill="808080"/>
          </w:tcPr>
          <w:p>
            <w:pPr>
              <w:spacing w:after="0"/>
              <w:rPr>
                <w:sz w:val="6"/>
                <w:szCs w:val="6"/>
                <w:color w:val="auto"/>
              </w:rPr>
            </w:pPr>
          </w:p>
        </w:tc>
        <w:tc>
          <w:tcPr>
            <w:tcW w:w="2020" w:type="dxa"/>
            <w:vAlign w:val="bottom"/>
            <w:shd w:val="clear" w:color="auto" w:fill="808080"/>
          </w:tcPr>
          <w:p>
            <w:pPr>
              <w:spacing w:after="0"/>
              <w:rPr>
                <w:sz w:val="6"/>
                <w:szCs w:val="6"/>
                <w:color w:val="auto"/>
              </w:rPr>
            </w:pPr>
          </w:p>
        </w:tc>
        <w:tc>
          <w:tcPr>
            <w:tcW w:w="1260" w:type="dxa"/>
            <w:vAlign w:val="bottom"/>
            <w:shd w:val="clear" w:color="auto" w:fill="808080"/>
          </w:tcPr>
          <w:p>
            <w:pPr>
              <w:spacing w:after="0"/>
              <w:rPr>
                <w:sz w:val="6"/>
                <w:szCs w:val="6"/>
                <w:color w:val="auto"/>
              </w:rPr>
            </w:pPr>
          </w:p>
        </w:tc>
        <w:tc>
          <w:tcPr>
            <w:tcW w:w="1620" w:type="dxa"/>
            <w:vAlign w:val="bottom"/>
            <w:shd w:val="clear" w:color="auto" w:fill="808080"/>
          </w:tcPr>
          <w:p>
            <w:pPr>
              <w:spacing w:after="0"/>
              <w:rPr>
                <w:sz w:val="6"/>
                <w:szCs w:val="6"/>
                <w:color w:val="auto"/>
              </w:rPr>
            </w:pPr>
          </w:p>
        </w:tc>
        <w:tc>
          <w:tcPr>
            <w:tcW w:w="1120" w:type="dxa"/>
            <w:vAlign w:val="bottom"/>
            <w:shd w:val="clear" w:color="auto" w:fill="808080"/>
          </w:tcPr>
          <w:p>
            <w:pPr>
              <w:spacing w:after="0"/>
              <w:rPr>
                <w:sz w:val="6"/>
                <w:szCs w:val="6"/>
                <w:color w:val="auto"/>
              </w:rPr>
            </w:pPr>
          </w:p>
        </w:tc>
        <w:tc>
          <w:tcPr>
            <w:tcW w:w="1320" w:type="dxa"/>
            <w:vAlign w:val="bottom"/>
            <w:shd w:val="clear" w:color="auto" w:fill="808080"/>
          </w:tcPr>
          <w:p>
            <w:pPr>
              <w:spacing w:after="0"/>
              <w:rPr>
                <w:sz w:val="6"/>
                <w:szCs w:val="6"/>
                <w:color w:val="auto"/>
              </w:rPr>
            </w:pPr>
          </w:p>
        </w:tc>
      </w:tr>
      <w:tr>
        <w:trPr>
          <w:trHeight w:val="95"/>
        </w:trPr>
        <w:tc>
          <w:tcPr>
            <w:tcW w:w="2040" w:type="dxa"/>
            <w:vAlign w:val="bottom"/>
            <w:tcBorders>
              <w:bottom w:val="single" w:sz="8" w:color="DCDCDC"/>
            </w:tcBorders>
          </w:tcPr>
          <w:p>
            <w:pPr>
              <w:spacing w:after="0"/>
              <w:rPr>
                <w:sz w:val="8"/>
                <w:szCs w:val="8"/>
                <w:color w:val="auto"/>
              </w:rPr>
            </w:pPr>
          </w:p>
        </w:tc>
        <w:tc>
          <w:tcPr>
            <w:tcW w:w="560" w:type="dxa"/>
            <w:vAlign w:val="bottom"/>
            <w:tcBorders>
              <w:bottom w:val="single" w:sz="8" w:color="DCDCDC"/>
            </w:tcBorders>
          </w:tcPr>
          <w:p>
            <w:pPr>
              <w:spacing w:after="0"/>
              <w:rPr>
                <w:sz w:val="8"/>
                <w:szCs w:val="8"/>
                <w:color w:val="auto"/>
              </w:rPr>
            </w:pPr>
          </w:p>
        </w:tc>
        <w:tc>
          <w:tcPr>
            <w:tcW w:w="1480" w:type="dxa"/>
            <w:vAlign w:val="bottom"/>
            <w:tcBorders>
              <w:bottom w:val="single" w:sz="8" w:color="DCDCDC"/>
            </w:tcBorders>
          </w:tcPr>
          <w:p>
            <w:pPr>
              <w:spacing w:after="0"/>
              <w:rPr>
                <w:sz w:val="8"/>
                <w:szCs w:val="8"/>
                <w:color w:val="auto"/>
              </w:rPr>
            </w:pPr>
          </w:p>
        </w:tc>
        <w:tc>
          <w:tcPr>
            <w:tcW w:w="2020" w:type="dxa"/>
            <w:vAlign w:val="bottom"/>
            <w:tcBorders>
              <w:bottom w:val="single" w:sz="8" w:color="DCDCDC"/>
            </w:tcBorders>
          </w:tcPr>
          <w:p>
            <w:pPr>
              <w:spacing w:after="0"/>
              <w:rPr>
                <w:sz w:val="8"/>
                <w:szCs w:val="8"/>
                <w:color w:val="auto"/>
              </w:rPr>
            </w:pPr>
          </w:p>
        </w:tc>
        <w:tc>
          <w:tcPr>
            <w:tcW w:w="1260" w:type="dxa"/>
            <w:vAlign w:val="bottom"/>
            <w:tcBorders>
              <w:bottom w:val="single" w:sz="8" w:color="DCDCDC"/>
            </w:tcBorders>
          </w:tcPr>
          <w:p>
            <w:pPr>
              <w:spacing w:after="0"/>
              <w:rPr>
                <w:sz w:val="8"/>
                <w:szCs w:val="8"/>
                <w:color w:val="auto"/>
              </w:rPr>
            </w:pPr>
          </w:p>
        </w:tc>
        <w:tc>
          <w:tcPr>
            <w:tcW w:w="1620" w:type="dxa"/>
            <w:vAlign w:val="bottom"/>
            <w:tcBorders>
              <w:bottom w:val="single" w:sz="8" w:color="DCDCDC"/>
            </w:tcBorders>
          </w:tcPr>
          <w:p>
            <w:pPr>
              <w:spacing w:after="0"/>
              <w:rPr>
                <w:sz w:val="8"/>
                <w:szCs w:val="8"/>
                <w:color w:val="auto"/>
              </w:rPr>
            </w:pPr>
          </w:p>
        </w:tc>
        <w:tc>
          <w:tcPr>
            <w:tcW w:w="1120" w:type="dxa"/>
            <w:vAlign w:val="bottom"/>
            <w:tcBorders>
              <w:bottom w:val="single" w:sz="8" w:color="DCDCDC"/>
            </w:tcBorders>
          </w:tcPr>
          <w:p>
            <w:pPr>
              <w:spacing w:after="0"/>
              <w:rPr>
                <w:sz w:val="8"/>
                <w:szCs w:val="8"/>
                <w:color w:val="auto"/>
              </w:rPr>
            </w:pPr>
          </w:p>
        </w:tc>
        <w:tc>
          <w:tcPr>
            <w:tcW w:w="1320" w:type="dxa"/>
            <w:vAlign w:val="bottom"/>
            <w:tcBorders>
              <w:bottom w:val="single" w:sz="8" w:color="DCDCDC"/>
            </w:tcBorders>
          </w:tcPr>
          <w:p>
            <w:pPr>
              <w:spacing w:after="0"/>
              <w:rPr>
                <w:sz w:val="8"/>
                <w:szCs w:val="8"/>
                <w:color w:val="auto"/>
              </w:rPr>
            </w:pPr>
          </w:p>
        </w:tc>
      </w:tr>
    </w:tbl>
    <w:p>
      <w:pPr>
        <w:sectPr>
          <w:pgSz w:w="11900" w:h="16838" w:orient="portrait"/>
          <w:cols w:equalWidth="0" w:num="1">
            <w:col w:w="11420"/>
          </w:cols>
          <w:pgMar w:left="240" w:top="5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PART I</w:t>
            </w:r>
          </w:p>
        </w:tc>
        <w:tc>
          <w:tcPr>
            <w:tcW w:w="10020" w:type="dxa"/>
            <w:vAlign w:val="bottom"/>
          </w:tcPr>
          <w:p>
            <w:pPr>
              <w:ind w:left="200"/>
              <w:spacing w:after="0"/>
              <w:rPr>
                <w:sz w:val="20"/>
                <w:szCs w:val="20"/>
                <w:color w:val="auto"/>
              </w:rPr>
            </w:pPr>
            <w:r>
              <w:rPr>
                <w:rFonts w:ascii="Arial" w:cs="Arial" w:eastAsia="Arial" w:hAnsi="Arial"/>
                <w:sz w:val="18"/>
                <w:szCs w:val="18"/>
                <w:color w:val="auto"/>
              </w:rPr>
              <w:t>FINANCIAL INFORMATION</w:t>
            </w: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Consolidated Balance Sheets as of June 30, 2013 and December 31, 2012</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w w:val="99"/>
              </w:rPr>
              <w:t>Consolidated Statements of Comprehensive Income for the Three and Six Months Ended June 30, 2013 and June 30, 2012</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Consolidated Statements of Cash Flows for the Six Months Ended June 30, 2013 and June 30, 2012</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PART II</w:t>
            </w:r>
          </w:p>
        </w:tc>
        <w:tc>
          <w:tcPr>
            <w:tcW w:w="1002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20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tcPr>
          <w:p>
            <w:pPr>
              <w:ind w:left="20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Signatures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59"/>
        </w:trPr>
        <w:tc>
          <w:tcPr>
            <w:tcW w:w="840" w:type="dxa"/>
            <w:vAlign w:val="bottom"/>
            <w:tcBorders>
              <w:bottom w:val="single" w:sz="8" w:color="DCDCDC"/>
            </w:tcBorders>
          </w:tcPr>
          <w:p>
            <w:pPr>
              <w:spacing w:after="0"/>
              <w:rPr>
                <w:sz w:val="24"/>
                <w:szCs w:val="24"/>
                <w:color w:val="auto"/>
              </w:rPr>
            </w:pPr>
          </w:p>
        </w:tc>
        <w:tc>
          <w:tcPr>
            <w:tcW w:w="10020" w:type="dxa"/>
            <w:vAlign w:val="bottom"/>
            <w:tcBorders>
              <w:bottom w:val="single" w:sz="8" w:color="DCDCDC"/>
            </w:tcBorders>
          </w:tcPr>
          <w:p>
            <w:pPr>
              <w:ind w:left="482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7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75,755</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Receivable from patent arrangement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80,642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76,997</w:t>
            </w: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89,376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85,854</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and outstanding 22,519,357 as of June 30, 2013 and 22,509,518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as of December 31, 2012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101,322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100,561</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84,841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81,896</w:t>
            </w:r>
          </w:p>
        </w:tc>
        <w:tc>
          <w:tcPr>
            <w:tcW w:w="0" w:type="dxa"/>
            <w:vAlign w:val="bottom"/>
          </w:tcPr>
          <w:p>
            <w:pPr>
              <w:spacing w:after="0"/>
              <w:rPr>
                <w:sz w:val="1"/>
                <w:szCs w:val="1"/>
                <w:color w:val="auto"/>
              </w:rPr>
            </w:pPr>
          </w:p>
        </w:tc>
      </w:tr>
      <w:tr>
        <w:trPr>
          <w:trHeight w:val="432"/>
        </w:trPr>
        <w:tc>
          <w:tcPr>
            <w:tcW w:w="88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89,376</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85,854</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 w:name="page4"/>
    <w:bookmarkEnd w:id="3"/>
    <w:p>
      <w:pPr>
        <w:jc w:val="center"/>
        <w:ind w:right="34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5,370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Software maintenance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Hardware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23"/>
        </w:trPr>
        <w:tc>
          <w:tcPr>
            <w:tcW w:w="574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4,850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10,466</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Cost of hardware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Operating income before patent related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Gain on sale of patent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Income from patent arrangement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Operating income after patent related income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71,345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3,074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72,393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71,443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3,235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72,570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16,670</w:t>
            </w:r>
          </w:p>
        </w:tc>
        <w:tc>
          <w:tcPr>
            <w:tcW w:w="0" w:type="dxa"/>
            <w:vAlign w:val="bottom"/>
          </w:tcPr>
          <w:p>
            <w:pPr>
              <w:spacing w:after="0"/>
              <w:rPr>
                <w:sz w:val="1"/>
                <w:szCs w:val="1"/>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54,776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55,900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54,926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Arial" w:cs="Arial" w:eastAsia="Arial" w:hAnsi="Arial"/>
                <w:sz w:val="18"/>
                <w:szCs w:val="18"/>
                <w:color w:val="auto"/>
              </w:rPr>
              <w:t>Basic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7"/>
        </w:trPr>
        <w:tc>
          <w:tcPr>
            <w:tcW w:w="5740" w:type="dxa"/>
            <w:vAlign w:val="bottom"/>
          </w:tcPr>
          <w:p>
            <w:pPr>
              <w:ind w:left="120"/>
              <w:spacing w:after="0"/>
              <w:rPr>
                <w:sz w:val="20"/>
                <w:szCs w:val="20"/>
                <w:color w:val="auto"/>
              </w:rPr>
            </w:pPr>
            <w:r>
              <w:rPr>
                <w:rFonts w:ascii="Arial" w:cs="Arial" w:eastAsia="Arial" w:hAnsi="Arial"/>
                <w:sz w:val="18"/>
                <w:szCs w:val="18"/>
                <w:color w:val="auto"/>
              </w:rPr>
              <w:t>Basic net income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Arial" w:cs="Arial" w:eastAsia="Arial" w:hAnsi="Arial"/>
                <w:sz w:val="18"/>
                <w:szCs w:val="18"/>
                <w:color w:val="auto"/>
              </w:rPr>
              <w:t>Diluted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5740" w:type="dxa"/>
            <w:vAlign w:val="bottom"/>
          </w:tcPr>
          <w:p>
            <w:pPr>
              <w:ind w:left="120"/>
              <w:spacing w:after="0"/>
              <w:rPr>
                <w:sz w:val="20"/>
                <w:szCs w:val="20"/>
                <w:color w:val="auto"/>
              </w:rPr>
            </w:pPr>
            <w:r>
              <w:rPr>
                <w:rFonts w:ascii="Arial" w:cs="Arial" w:eastAsia="Arial" w:hAnsi="Arial"/>
                <w:sz w:val="18"/>
                <w:szCs w:val="18"/>
                <w:color w:val="auto"/>
              </w:rPr>
              <w:t>Diluted net income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4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21,241</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22,687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21,583</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54,926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60"/>
              <w:spacing w:after="0"/>
              <w:rPr>
                <w:sz w:val="20"/>
                <w:szCs w:val="20"/>
                <w:color w:val="auto"/>
              </w:rPr>
            </w:pPr>
            <w:r>
              <w:rPr>
                <w:rFonts w:ascii="Arial" w:cs="Arial" w:eastAsia="Arial" w:hAnsi="Arial"/>
                <w:sz w:val="18"/>
                <w:szCs w:val="18"/>
                <w:color w:val="auto"/>
              </w:rPr>
              <w:t>Unrealized gains (losses) on available for sale securities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54,887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2,184</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56,064</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7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provided by 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Gain on sale of patent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(71,226)</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Amortization of premium (discount) on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Receivable from patent arrangement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8820" w:type="dxa"/>
            <w:vAlign w:val="bottom"/>
          </w:tcPr>
          <w:p>
            <w:pPr>
              <w:ind w:left="56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8820" w:type="dxa"/>
            <w:vAlign w:val="bottom"/>
          </w:tcPr>
          <w:p>
            <w:pPr>
              <w:ind w:left="56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37"/>
        </w:trPr>
        <w:tc>
          <w:tcPr>
            <w:tcW w:w="8820" w:type="dxa"/>
            <w:vAlign w:val="bottom"/>
          </w:tcPr>
          <w:p>
            <w:pPr>
              <w:ind w:left="5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Sales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sale of patent assets, net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71,226</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72,022</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 of dividends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(25,506)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12,684</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Payments made for taxes of employees who surrendered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360"/>
              <w:spacing w:after="0"/>
              <w:rPr>
                <w:sz w:val="20"/>
                <w:szCs w:val="20"/>
                <w:color w:val="auto"/>
              </w:rPr>
            </w:pPr>
            <w:r>
              <w:rPr>
                <w:rFonts w:ascii="Arial" w:cs="Arial" w:eastAsia="Arial" w:hAnsi="Arial"/>
                <w:sz w:val="18"/>
                <w:szCs w:val="18"/>
                <w:color w:val="auto"/>
              </w:rPr>
              <w:t>shares related to unrestricted stock</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54,481</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71,074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75,755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101,058</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4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2012 in conjunction with our 2012 Annual Report on Form 10-K. This Form 10-Q should be read in conjunction with that Form 10-K.</w:t>
      </w:r>
    </w:p>
    <w:p>
      <w:pPr>
        <w:spacing w:after="0" w:line="215" w:lineRule="exact"/>
        <w:rPr>
          <w:rFonts w:ascii="Arial" w:cs="Arial" w:eastAsia="Arial" w:hAnsi="Arial"/>
          <w:sz w:val="18"/>
          <w:szCs w:val="18"/>
          <w:color w:val="auto"/>
        </w:rPr>
      </w:pPr>
    </w:p>
    <w:p>
      <w:pPr>
        <w:jc w:val="both"/>
        <w:ind w:left="340" w:right="20"/>
        <w:spacing w:after="0" w:line="264" w:lineRule="auto"/>
        <w:rPr>
          <w:rFonts w:ascii="Arial" w:cs="Arial" w:eastAsia="Arial" w:hAnsi="Arial"/>
          <w:sz w:val="18"/>
          <w:szCs w:val="18"/>
          <w:color w:val="auto"/>
        </w:rPr>
      </w:pPr>
      <w:r>
        <w:rPr>
          <w:rFonts w:ascii="Arial" w:cs="Arial" w:eastAsia="Arial" w:hAnsi="Arial"/>
          <w:sz w:val="18"/>
          <w:szCs w:val="18"/>
          <w:color w:val="auto"/>
        </w:rPr>
        <w:t>The accompanying unaudited consolidated balance sheets, statements of comprehensive income, and statements of cash flows reflect all adjustments (consisting only of normal recurring items) which are, in the opinion of management, necessary for a fair presentation of financial position at June 30, 2013, and of operations and cash flows for the interim periods ended June 30, 2013 and 2012.</w:t>
      </w:r>
    </w:p>
    <w:p>
      <w:pPr>
        <w:spacing w:after="0" w:line="20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June 30, 2013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204"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$75.8 million and $71.1 million as of June 30, 2013 and December 31, 2012, respectively. We classified our cash equivalents of $67.1 million as of June 30, 2013 and December 31, 2012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$2.0 million of available-for-sale investments as of June 30, 2013 and December 31, 2012.</w:t>
      </w:r>
    </w:p>
    <w:p>
      <w:pPr>
        <w:spacing w:after="0" w:line="208"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June 30, 2013, our assets that are measured at fair value on a recurring basis and whose carrying values approximate their respective fair values include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ind w:right="195"/>
              <w:spacing w:after="0"/>
              <w:rPr>
                <w:sz w:val="20"/>
                <w:szCs w:val="20"/>
                <w:color w:val="auto"/>
              </w:rPr>
            </w:pPr>
            <w:r>
              <w:rPr>
                <w:rFonts w:ascii="Arial" w:cs="Arial" w:eastAsia="Arial" w:hAnsi="Arial"/>
                <w:sz w:val="18"/>
                <w:szCs w:val="18"/>
                <w:color w:val="auto"/>
                <w:w w:val="95"/>
              </w:rPr>
              <w:t>Fair Value Measurement at June 30, 2013 Using:</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60" w:type="dxa"/>
            <w:vAlign w:val="bottom"/>
            <w:gridSpan w:val="2"/>
          </w:tcPr>
          <w:p>
            <w:pPr>
              <w:jc w:val="center"/>
              <w:ind w:right="10"/>
              <w:spacing w:after="0" w:line="201" w:lineRule="exact"/>
              <w:rPr>
                <w:sz w:val="20"/>
                <w:szCs w:val="20"/>
                <w:color w:val="auto"/>
              </w:rPr>
            </w:pPr>
            <w:r>
              <w:rPr>
                <w:rFonts w:ascii="Arial" w:cs="Arial" w:eastAsia="Arial" w:hAnsi="Arial"/>
                <w:sz w:val="18"/>
                <w:szCs w:val="18"/>
                <w:color w:val="auto"/>
                <w:w w:val="90"/>
              </w:rPr>
              <w:t>Quoted Prices 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3360" w:type="dxa"/>
            <w:vAlign w:val="bottom"/>
            <w:gridSpan w:val="3"/>
          </w:tcPr>
          <w:p>
            <w:pPr>
              <w:jc w:val="center"/>
              <w:ind w:left="1710"/>
              <w:spacing w:after="0"/>
              <w:rPr>
                <w:sz w:val="20"/>
                <w:szCs w:val="20"/>
                <w:color w:val="auto"/>
              </w:rPr>
            </w:pPr>
            <w:r>
              <w:rPr>
                <w:rFonts w:ascii="Arial" w:cs="Arial" w:eastAsia="Arial" w:hAnsi="Arial"/>
                <w:sz w:val="18"/>
                <w:szCs w:val="18"/>
                <w:color w:val="auto"/>
                <w:w w:val="94"/>
              </w:rPr>
              <w:t>Active Markets for</w:t>
            </w: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Significant Other</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0"/>
              </w:rPr>
              <w:t>Identical Assets</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4"/>
              </w:rPr>
              <w:t>Observable Inputs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3)</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rPr>
              <w:t>Corporate debt securities</w:t>
            </w:r>
          </w:p>
        </w:tc>
        <w:tc>
          <w:tcPr>
            <w:tcW w:w="1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180" w:type="dxa"/>
            <w:vAlign w:val="bottom"/>
          </w:tcPr>
          <w:p>
            <w:pPr>
              <w:ind w:left="340"/>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67,084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69,104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900" w:type="dxa"/>
            <w:vAlign w:val="bottom"/>
            <w:vMerge w:val="restart"/>
          </w:tcPr>
          <w:p>
            <w:pPr>
              <w:jc w:val="right"/>
              <w:ind w:right="12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180" w:type="dxa"/>
            <w:vAlign w:val="bottom"/>
            <w:tcBorders>
              <w:bottom w:val="single" w:sz="8" w:color="DCDCDC"/>
            </w:tcBorders>
          </w:tcPr>
          <w:p>
            <w:pPr>
              <w:spacing w:after="0"/>
              <w:rPr>
                <w:sz w:val="24"/>
                <w:szCs w:val="24"/>
                <w:color w:val="auto"/>
              </w:rPr>
            </w:pPr>
          </w:p>
        </w:tc>
        <w:tc>
          <w:tcPr>
            <w:tcW w:w="1900" w:type="dxa"/>
            <w:vAlign w:val="bottom"/>
            <w:tcBorders>
              <w:bottom w:val="single" w:sz="8" w:color="DCDCDC"/>
            </w:tcBorders>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9" w:right="239" w:bottom="144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As of December 31, 2012, our assets that are measured at fair value on a recurring basis and whose carrying values approximate their respective fair values include the following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6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0"/>
              </w:rPr>
              <w:t>Fair Value Measurement at December 31, 2012 Using:</w:t>
            </w:r>
          </w:p>
        </w:tc>
        <w:tc>
          <w:tcPr>
            <w:tcW w:w="180" w:type="dxa"/>
            <w:vAlign w:val="bottom"/>
            <w:tcBorders>
              <w:bottom w:val="single" w:sz="8" w:color="auto"/>
            </w:tcBorders>
          </w:tcPr>
          <w:p>
            <w:pPr>
              <w:spacing w:after="0"/>
              <w:rPr>
                <w:sz w:val="20"/>
                <w:szCs w:val="20"/>
                <w:color w:val="auto"/>
              </w:rPr>
            </w:pPr>
          </w:p>
        </w:tc>
      </w:tr>
      <w:tr>
        <w:trPr>
          <w:trHeight w:val="202"/>
        </w:trPr>
        <w:tc>
          <w:tcPr>
            <w:tcW w:w="6720" w:type="dxa"/>
            <w:vAlign w:val="bottom"/>
          </w:tcPr>
          <w:p>
            <w:pPr>
              <w:spacing w:after="0"/>
              <w:rPr>
                <w:sz w:val="17"/>
                <w:szCs w:val="17"/>
                <w:color w:val="auto"/>
              </w:rPr>
            </w:pPr>
          </w:p>
        </w:tc>
        <w:tc>
          <w:tcPr>
            <w:tcW w:w="1460" w:type="dxa"/>
            <w:vAlign w:val="bottom"/>
            <w:gridSpan w:val="2"/>
          </w:tcPr>
          <w:p>
            <w:pPr>
              <w:jc w:val="center"/>
              <w:ind w:right="10"/>
              <w:spacing w:after="0" w:line="201" w:lineRule="exact"/>
              <w:rPr>
                <w:sz w:val="20"/>
                <w:szCs w:val="20"/>
                <w:color w:val="auto"/>
              </w:rPr>
            </w:pPr>
            <w:r>
              <w:rPr>
                <w:rFonts w:ascii="Arial" w:cs="Arial" w:eastAsia="Arial" w:hAnsi="Arial"/>
                <w:sz w:val="18"/>
                <w:szCs w:val="18"/>
                <w:color w:val="auto"/>
                <w:w w:val="90"/>
              </w:rPr>
              <w:t>Quoted Prices 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7"/>
                <w:szCs w:val="17"/>
                <w:color w:val="auto"/>
              </w:rPr>
            </w:pPr>
          </w:p>
        </w:tc>
      </w:tr>
      <w:tr>
        <w:trPr>
          <w:trHeight w:val="216"/>
        </w:trPr>
        <w:tc>
          <w:tcPr>
            <w:tcW w:w="6720" w:type="dxa"/>
            <w:vAlign w:val="bottom"/>
          </w:tcPr>
          <w:p>
            <w:pPr>
              <w:spacing w:after="0"/>
              <w:rPr>
                <w:sz w:val="18"/>
                <w:szCs w:val="18"/>
                <w:color w:val="auto"/>
              </w:rPr>
            </w:pPr>
          </w:p>
        </w:tc>
        <w:tc>
          <w:tcPr>
            <w:tcW w:w="146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Active Markets for</w:t>
            </w:r>
          </w:p>
        </w:tc>
        <w:tc>
          <w:tcPr>
            <w:tcW w:w="12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8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Identical Assets</w:t>
            </w: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w w:val="95"/>
              </w:rPr>
              <w:t>Observable Inputs</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18"/>
                <w:szCs w:val="18"/>
                <w:color w:val="auto"/>
              </w:rPr>
            </w:pPr>
          </w:p>
        </w:tc>
      </w:tr>
      <w:tr>
        <w:trPr>
          <w:trHeight w:val="237"/>
        </w:trPr>
        <w:tc>
          <w:tcPr>
            <w:tcW w:w="6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(Level 3)</w:t>
            </w:r>
          </w:p>
        </w:tc>
        <w:tc>
          <w:tcPr>
            <w:tcW w:w="180" w:type="dxa"/>
            <w:vAlign w:val="bottom"/>
            <w:tcBorders>
              <w:bottom w:val="single" w:sz="8" w:color="auto"/>
            </w:tcBorders>
          </w:tcPr>
          <w:p>
            <w:pPr>
              <w:spacing w:after="0"/>
              <w:rPr>
                <w:sz w:val="20"/>
                <w:szCs w:val="20"/>
                <w:color w:val="auto"/>
              </w:rPr>
            </w:pPr>
          </w:p>
        </w:tc>
      </w:tr>
      <w:tr>
        <w:trPr>
          <w:trHeight w:val="202"/>
        </w:trPr>
        <w:tc>
          <w:tcPr>
            <w:tcW w:w="672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2,010</w:t>
            </w:r>
          </w:p>
        </w:tc>
        <w:tc>
          <w:tcPr>
            <w:tcW w:w="1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80" w:type="dxa"/>
            <w:vAlign w:val="bottom"/>
          </w:tcPr>
          <w:p>
            <w:pPr>
              <w:jc w:val="right"/>
              <w:ind w:right="890"/>
              <w:spacing w:after="0" w:line="201" w:lineRule="exact"/>
              <w:rPr>
                <w:sz w:val="20"/>
                <w:szCs w:val="20"/>
                <w:color w:val="auto"/>
              </w:rPr>
            </w:pPr>
            <w:r>
              <w:rPr>
                <w:rFonts w:ascii="Arial" w:cs="Arial" w:eastAsia="Arial" w:hAnsi="Arial"/>
                <w:sz w:val="18"/>
                <w:szCs w:val="18"/>
                <w:color w:val="auto"/>
                <w:w w:val="79"/>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16"/>
        </w:trPr>
        <w:tc>
          <w:tcPr>
            <w:tcW w:w="672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69,060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r>
      <w:tr>
        <w:trPr>
          <w:trHeight w:val="21"/>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Net income per share is calculated as follows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3"/>
        </w:trPr>
        <w:tc>
          <w:tcPr>
            <w:tcW w:w="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1"/>
              </w:rPr>
              <w:t>Net income:</w:t>
            </w:r>
          </w:p>
        </w:tc>
        <w:tc>
          <w:tcPr>
            <w:tcW w:w="5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80" w:type="dxa"/>
            <w:vAlign w:val="bottom"/>
            <w:gridSpan w:val="5"/>
          </w:tcPr>
          <w:p>
            <w:pPr>
              <w:ind w:left="1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54,776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55,900</w:t>
            </w:r>
          </w:p>
        </w:tc>
        <w:tc>
          <w:tcPr>
            <w:tcW w:w="0" w:type="dxa"/>
            <w:vAlign w:val="bottom"/>
          </w:tcPr>
          <w:p>
            <w:pPr>
              <w:spacing w:after="0"/>
              <w:rPr>
                <w:sz w:val="1"/>
                <w:szCs w:val="1"/>
                <w:color w:val="auto"/>
              </w:rPr>
            </w:pPr>
          </w:p>
        </w:tc>
      </w:tr>
      <w:tr>
        <w:trPr>
          <w:trHeight w:val="237"/>
        </w:trPr>
        <w:tc>
          <w:tcPr>
            <w:tcW w:w="6080" w:type="dxa"/>
            <w:vAlign w:val="bottom"/>
            <w:gridSpan w:val="5"/>
          </w:tcPr>
          <w:p>
            <w:pPr>
              <w:ind w:left="14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080" w:type="dxa"/>
            <w:vAlign w:val="bottom"/>
            <w:gridSpan w:val="5"/>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
        </w:trPr>
        <w:tc>
          <w:tcPr>
            <w:tcW w:w="6080" w:type="dxa"/>
            <w:vAlign w:val="bottom"/>
            <w:gridSpan w:val="5"/>
            <w:vMerge w:val="restart"/>
          </w:tcPr>
          <w:p>
            <w:pPr>
              <w:spacing w:after="0"/>
              <w:rPr>
                <w:sz w:val="20"/>
                <w:szCs w:val="20"/>
                <w:color w:val="auto"/>
              </w:rPr>
            </w:pPr>
            <w:r>
              <w:rPr>
                <w:rFonts w:ascii="Arial" w:cs="Arial" w:eastAsia="Arial" w:hAnsi="Arial"/>
                <w:sz w:val="18"/>
                <w:szCs w:val="18"/>
                <w:color w:val="auto"/>
              </w:rPr>
              <w:t>Shares outstanding:</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8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5"/>
          </w:tcPr>
          <w:p>
            <w:pPr>
              <w:ind w:left="1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21,241</w:t>
            </w:r>
          </w:p>
        </w:tc>
        <w:tc>
          <w:tcPr>
            <w:tcW w:w="0" w:type="dxa"/>
            <w:vAlign w:val="bottom"/>
          </w:tcPr>
          <w:p>
            <w:pPr>
              <w:spacing w:after="0"/>
              <w:rPr>
                <w:sz w:val="1"/>
                <w:szCs w:val="1"/>
                <w:color w:val="auto"/>
              </w:rPr>
            </w:pPr>
          </w:p>
        </w:tc>
      </w:tr>
      <w:tr>
        <w:trPr>
          <w:trHeight w:val="237"/>
        </w:trPr>
        <w:tc>
          <w:tcPr>
            <w:tcW w:w="6080" w:type="dxa"/>
            <w:vAlign w:val="bottom"/>
            <w:gridSpan w:val="5"/>
          </w:tcPr>
          <w:p>
            <w:pPr>
              <w:ind w:left="140"/>
              <w:spacing w:after="0"/>
              <w:rPr>
                <w:sz w:val="20"/>
                <w:szCs w:val="20"/>
                <w:color w:val="auto"/>
              </w:rPr>
            </w:pPr>
            <w:r>
              <w:rPr>
                <w:rFonts w:ascii="Arial" w:cs="Arial" w:eastAsia="Arial" w:hAnsi="Arial"/>
                <w:sz w:val="18"/>
                <w:szCs w:val="18"/>
                <w:color w:val="auto"/>
              </w:rPr>
              <w:t>Additional dilutive common stock equivalents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6080" w:type="dxa"/>
            <w:vAlign w:val="bottom"/>
            <w:gridSpan w:val="5"/>
          </w:tcPr>
          <w:p>
            <w:pPr>
              <w:ind w:left="140"/>
              <w:spacing w:after="0"/>
              <w:rPr>
                <w:sz w:val="20"/>
                <w:szCs w:val="20"/>
                <w:color w:val="auto"/>
              </w:rPr>
            </w:pPr>
            <w:r>
              <w:rPr>
                <w:rFonts w:ascii="Arial" w:cs="Arial" w:eastAsia="Arial" w:hAnsi="Arial"/>
                <w:sz w:val="18"/>
                <w:szCs w:val="18"/>
                <w:color w:val="auto"/>
              </w:rPr>
              <w:t>Diluted shares outstanding</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22,687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22,099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21,583</w:t>
            </w: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Arial" w:cs="Arial" w:eastAsia="Arial" w:hAnsi="Arial"/>
                <w:sz w:val="18"/>
                <w:szCs w:val="18"/>
                <w:color w:val="auto"/>
                <w:w w:val="88"/>
              </w:rPr>
              <w:t>Basic net income per share:</w:t>
            </w:r>
          </w:p>
        </w:tc>
        <w:tc>
          <w:tcPr>
            <w:tcW w:w="40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000" w:type="dxa"/>
            <w:vAlign w:val="bottom"/>
            <w:tcBorders>
              <w:bottom w:val="single" w:sz="8" w:color="auto"/>
            </w:tcBorders>
            <w:gridSpan w:val="3"/>
            <w:vMerge w:val="continue"/>
          </w:tcPr>
          <w:p>
            <w:pPr>
              <w:spacing w:after="0"/>
              <w:rPr>
                <w:sz w:val="24"/>
                <w:szCs w:val="24"/>
                <w:color w:val="auto"/>
              </w:rPr>
            </w:pPr>
          </w:p>
        </w:tc>
        <w:tc>
          <w:tcPr>
            <w:tcW w:w="40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80" w:type="dxa"/>
            <w:vAlign w:val="bottom"/>
            <w:gridSpan w:val="5"/>
          </w:tcPr>
          <w:p>
            <w:pPr>
              <w:ind w:left="180"/>
              <w:spacing w:after="0"/>
              <w:rPr>
                <w:sz w:val="20"/>
                <w:szCs w:val="20"/>
                <w:color w:val="auto"/>
              </w:rPr>
            </w:pPr>
            <w:r>
              <w:rPr>
                <w:rFonts w:ascii="Arial" w:cs="Arial" w:eastAsia="Arial" w:hAnsi="Arial"/>
                <w:sz w:val="18"/>
                <w:szCs w:val="18"/>
                <w:color w:val="auto"/>
              </w:rPr>
              <w:t>Basic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7"/>
        </w:trPr>
        <w:tc>
          <w:tcPr>
            <w:tcW w:w="6080" w:type="dxa"/>
            <w:vAlign w:val="bottom"/>
            <w:gridSpan w:val="5"/>
          </w:tcPr>
          <w:p>
            <w:pPr>
              <w:ind w:left="180"/>
              <w:spacing w:after="0"/>
              <w:rPr>
                <w:sz w:val="20"/>
                <w:szCs w:val="20"/>
                <w:color w:val="auto"/>
              </w:rPr>
            </w:pPr>
            <w:r>
              <w:rPr>
                <w:rFonts w:ascii="Arial" w:cs="Arial" w:eastAsia="Arial" w:hAnsi="Arial"/>
                <w:sz w:val="18"/>
                <w:szCs w:val="18"/>
                <w:color w:val="auto"/>
              </w:rPr>
              <w:t>Basic net income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080" w:type="dxa"/>
            <w:vAlign w:val="bottom"/>
            <w:gridSpan w:val="5"/>
          </w:tcPr>
          <w:p>
            <w:pPr>
              <w:ind w:left="320"/>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
        </w:trPr>
        <w:tc>
          <w:tcPr>
            <w:tcW w:w="2140" w:type="dxa"/>
            <w:vAlign w:val="bottom"/>
            <w:gridSpan w:val="4"/>
            <w:vMerge w:val="restart"/>
          </w:tcPr>
          <w:p>
            <w:pPr>
              <w:spacing w:after="0"/>
              <w:rPr>
                <w:sz w:val="20"/>
                <w:szCs w:val="20"/>
                <w:color w:val="auto"/>
              </w:rPr>
            </w:pPr>
            <w:r>
              <w:rPr>
                <w:rFonts w:ascii="Arial" w:cs="Arial" w:eastAsia="Arial" w:hAnsi="Arial"/>
                <w:sz w:val="18"/>
                <w:szCs w:val="18"/>
                <w:color w:val="auto"/>
                <w:w w:val="90"/>
              </w:rPr>
              <w:t>Diluted net income per share:</w:t>
            </w:r>
          </w:p>
        </w:tc>
        <w:tc>
          <w:tcPr>
            <w:tcW w:w="39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140" w:type="dxa"/>
            <w:vAlign w:val="bottom"/>
            <w:tcBorders>
              <w:bottom w:val="single" w:sz="8" w:color="auto"/>
            </w:tcBorders>
            <w:gridSpan w:val="4"/>
            <w:vMerge w:val="continue"/>
          </w:tcPr>
          <w:p>
            <w:pPr>
              <w:spacing w:after="0"/>
              <w:rPr>
                <w:sz w:val="24"/>
                <w:szCs w:val="24"/>
                <w:color w:val="auto"/>
              </w:rPr>
            </w:pPr>
          </w:p>
        </w:tc>
        <w:tc>
          <w:tcPr>
            <w:tcW w:w="3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80" w:type="dxa"/>
            <w:vAlign w:val="bottom"/>
            <w:gridSpan w:val="5"/>
          </w:tcPr>
          <w:p>
            <w:pPr>
              <w:ind w:left="180"/>
              <w:spacing w:after="0"/>
              <w:rPr>
                <w:sz w:val="20"/>
                <w:szCs w:val="20"/>
                <w:color w:val="auto"/>
              </w:rPr>
            </w:pPr>
            <w:r>
              <w:rPr>
                <w:rFonts w:ascii="Arial" w:cs="Arial" w:eastAsia="Arial" w:hAnsi="Arial"/>
                <w:sz w:val="18"/>
                <w:szCs w:val="18"/>
                <w:color w:val="auto"/>
              </w:rPr>
              <w:t>Diluted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6080" w:type="dxa"/>
            <w:vAlign w:val="bottom"/>
            <w:gridSpan w:val="5"/>
          </w:tcPr>
          <w:p>
            <w:pPr>
              <w:ind w:left="180"/>
              <w:spacing w:after="0"/>
              <w:rPr>
                <w:sz w:val="20"/>
                <w:szCs w:val="20"/>
                <w:color w:val="auto"/>
              </w:rPr>
            </w:pPr>
            <w:r>
              <w:rPr>
                <w:rFonts w:ascii="Arial" w:cs="Arial" w:eastAsia="Arial" w:hAnsi="Arial"/>
                <w:sz w:val="18"/>
                <w:szCs w:val="18"/>
                <w:color w:val="auto"/>
              </w:rPr>
              <w:t>Diluted net income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080" w:type="dxa"/>
            <w:vAlign w:val="bottom"/>
            <w:gridSpan w:val="5"/>
          </w:tcPr>
          <w:p>
            <w:pPr>
              <w:ind w:left="320"/>
              <w:spacing w:after="0"/>
              <w:rPr>
                <w:sz w:val="20"/>
                <w:szCs w:val="20"/>
                <w:color w:val="auto"/>
              </w:rPr>
            </w:pPr>
            <w:r>
              <w:rPr>
                <w:rFonts w:ascii="Arial" w:cs="Arial" w:eastAsia="Arial" w:hAnsi="Arial"/>
                <w:sz w:val="18"/>
                <w:szCs w:val="18"/>
                <w:color w:val="auto"/>
              </w:rPr>
              <w:t>Diluted net income per share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three month periods ended June 30, 2013 and 2012, options to purchase 877,238 and 826,004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six month periods ended June 30, 2013 and 2012, options to purchase 825,338 and 1,034,754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7" w:name="page8"/>
    <w:bookmarkEnd w:id="7"/>
    <w:p>
      <w:pPr>
        <w:ind w:left="340" w:right="6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117"/>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18"/>
                <w:szCs w:val="18"/>
                <w:color w:val="auto"/>
              </w:rPr>
            </w:pPr>
          </w:p>
        </w:tc>
      </w:tr>
      <w:tr>
        <w:trPr>
          <w:trHeight w:val="241"/>
        </w:trPr>
        <w:tc>
          <w:tcPr>
            <w:tcW w:w="5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8"/>
                <w:szCs w:val="18"/>
                <w:b w:val="1"/>
                <w:bCs w:val="1"/>
                <w:color w:val="auto"/>
                <w:w w:val="99"/>
              </w:rPr>
              <w:t>June 30,</w:t>
            </w:r>
          </w:p>
        </w:tc>
        <w:tc>
          <w:tcPr>
            <w:tcW w:w="44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r>
      <w:tr>
        <w:trPr>
          <w:trHeight w:val="418"/>
        </w:trPr>
        <w:tc>
          <w:tcPr>
            <w:tcW w:w="5760" w:type="dxa"/>
            <w:vAlign w:val="bottom"/>
          </w:tcPr>
          <w:p>
            <w:pPr>
              <w:spacing w:after="0"/>
              <w:rPr>
                <w:sz w:val="20"/>
                <w:szCs w:val="20"/>
                <w:color w:val="auto"/>
              </w:rPr>
            </w:pPr>
            <w:r>
              <w:rPr>
                <w:rFonts w:ascii="Arial" w:cs="Arial" w:eastAsia="Arial" w:hAnsi="Arial"/>
                <w:sz w:val="18"/>
                <w:szCs w:val="18"/>
                <w:color w:val="auto"/>
              </w:rPr>
              <w:t>Cost of services</w:t>
            </w:r>
          </w:p>
        </w:tc>
        <w:tc>
          <w:tcPr>
            <w:tcW w:w="820" w:type="dxa"/>
            <w:vAlign w:val="bottom"/>
            <w:gridSpan w:val="2"/>
          </w:tcPr>
          <w:p>
            <w:pPr>
              <w:jc w:val="right"/>
              <w:ind w:right="66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576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227</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1"/>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Stock Option Grants</w:t>
      </w:r>
      <w:r>
        <w:rPr>
          <w:rFonts w:ascii="Arial" w:cs="Arial" w:eastAsia="Arial" w:hAnsi="Arial"/>
          <w:sz w:val="17"/>
          <w:szCs w:val="17"/>
          <w:color w:val="auto"/>
        </w:rPr>
        <w:t>. We grant stock options under our 2001 Nonqualified Stock Plan. We estimate the fair value of stock options using the Black-Scholes valuation model.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Estimates of fair value are not intended to predict actual future events or the value ultimately realized by persons who receive equity awards.</w:t>
      </w:r>
    </w:p>
    <w:p>
      <w:pPr>
        <w:spacing w:after="0" w:line="20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stock-based grants in 2013 and 2012:</w:t>
      </w:r>
    </w:p>
    <w:p>
      <w:pPr>
        <w:spacing w:after="0" w:line="25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Stock Option Grants</w:t>
      </w:r>
      <w:r>
        <w:rPr>
          <w:rFonts w:ascii="Arial" w:cs="Arial" w:eastAsia="Arial" w:hAnsi="Arial"/>
          <w:sz w:val="18"/>
          <w:szCs w:val="18"/>
          <w:color w:val="auto"/>
        </w:rPr>
        <w:t xml:space="preserve"> – We did not grant any stock options in the three and six month periods ended June 30, 2013. We granted stock options for 25,000 shares and 50,000 shares in the three and six month periods ended June 30, 2012, respectively.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Unrestricted Stock Grants</w:t>
      </w:r>
      <w:r>
        <w:rPr>
          <w:rFonts w:ascii="Arial" w:cs="Arial" w:eastAsia="Arial" w:hAnsi="Arial"/>
          <w:sz w:val="18"/>
          <w:szCs w:val="18"/>
          <w:color w:val="auto"/>
        </w:rPr>
        <w:t xml:space="preserve"> – We granted shares of unrestricted stock in July 2010 and April 2013. The following summarizes those grants and their related impact on results of operations for the three and six months ended June 30, 2013 and 2012:</w:t>
      </w:r>
    </w:p>
    <w:p>
      <w:pPr>
        <w:spacing w:after="0" w:line="197" w:lineRule="exact"/>
        <w:rPr>
          <w:rFonts w:ascii="Arial" w:cs="Arial" w:eastAsia="Arial" w:hAnsi="Arial"/>
          <w:sz w:val="18"/>
          <w:szCs w:val="18"/>
          <w:color w:val="auto"/>
        </w:rPr>
      </w:pPr>
    </w:p>
    <w:p>
      <w:pPr>
        <w:jc w:val="both"/>
        <w:ind w:left="660" w:right="20"/>
        <w:spacing w:after="0" w:line="286" w:lineRule="auto"/>
        <w:rPr>
          <w:rFonts w:ascii="Arial" w:cs="Arial" w:eastAsia="Arial" w:hAnsi="Arial"/>
          <w:sz w:val="18"/>
          <w:szCs w:val="18"/>
          <w:color w:val="auto"/>
        </w:rPr>
      </w:pPr>
      <w:r>
        <w:rPr>
          <w:rFonts w:ascii="Arial" w:cs="Arial" w:eastAsia="Arial" w:hAnsi="Arial"/>
          <w:sz w:val="17"/>
          <w:szCs w:val="17"/>
          <w:i w:val="1"/>
          <w:iCs w:val="1"/>
          <w:color w:val="auto"/>
        </w:rPr>
        <w:t xml:space="preserve">July 2010 Unrestricted Stock Grant. </w:t>
      </w:r>
      <w:r>
        <w:rPr>
          <w:rFonts w:ascii="Arial" w:cs="Arial" w:eastAsia="Arial" w:hAnsi="Arial"/>
          <w:sz w:val="17"/>
          <w:szCs w:val="17"/>
          <w:color w:val="auto"/>
        </w:rPr>
        <w:t>In July 2010, we granted 575,443 shares of stock to directors, officers and employees. There was no stock-based compensation expense related to this grant in the three and six month periods ended June 30, 2013. We expensed $94,000 and $189,000 of stock-based compensation expense related to this grant in the three and six month periods ended June 30, 2012, respectively.</w:t>
      </w:r>
    </w:p>
    <w:p>
      <w:pPr>
        <w:spacing w:after="0" w:line="192"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April 2013 Unrestricted Stock Grant. </w:t>
      </w:r>
      <w:r>
        <w:rPr>
          <w:rFonts w:ascii="Arial" w:cs="Arial" w:eastAsia="Arial" w:hAnsi="Arial"/>
          <w:sz w:val="18"/>
          <w:szCs w:val="18"/>
          <w:color w:val="auto"/>
        </w:rPr>
        <w:t>In April 2013, we granted 130,000 shares of unrestricted stock to directors, officers and employees.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to be issued in two equal installments shortly after June 30, 2013 and December 31, 2013, provided each grantee is serving as a director, officer or employee on those dates. We expensed $208,000 of stock-based compensation expense related to this grant in the three months ended June 30, 2013. The unamortized stock-based compensation charge associated with this grant as of June 30, 2013 is $415,000, which will be charged ratably to expense in the third and fourth quarters of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8" w:name="page9"/>
    <w:bookmarkEnd w:id="8"/>
    <w:p>
      <w:pPr>
        <w:ind w:right="220" w:firstLine="8"/>
        <w:spacing w:after="0" w:line="277" w:lineRule="auto"/>
        <w:tabs>
          <w:tab w:leader="none" w:pos="66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multiple segments reporting to the chief operating decision makers. The following table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financial data for the three and six month periods ended June 30, 2013 and 2012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color w:val="auto"/>
              </w:rPr>
              <w:t>Segments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30"/>
              <w:spacing w:after="0" w:line="201" w:lineRule="exact"/>
              <w:rPr>
                <w:sz w:val="20"/>
                <w:szCs w:val="20"/>
                <w:color w:val="auto"/>
              </w:rPr>
            </w:pPr>
            <w:r>
              <w:rPr>
                <w:rFonts w:ascii="Arial" w:cs="Arial" w:eastAsia="Arial" w:hAnsi="Arial"/>
                <w:sz w:val="18"/>
                <w:szCs w:val="18"/>
                <w:color w:val="auto"/>
                <w:w w:val="97"/>
              </w:rPr>
              <w:t>Biometrics</w:t>
            </w:r>
          </w:p>
        </w:tc>
        <w:tc>
          <w:tcPr>
            <w:tcW w:w="220" w:type="dxa"/>
            <w:vAlign w:val="bottom"/>
          </w:tcPr>
          <w:p>
            <w:pPr>
              <w:spacing w:after="0"/>
              <w:rPr>
                <w:sz w:val="17"/>
                <w:szCs w:val="17"/>
                <w:color w:val="auto"/>
              </w:rPr>
            </w:pPr>
          </w:p>
        </w:tc>
        <w:tc>
          <w:tcPr>
            <w:tcW w:w="114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1"/>
              </w:rPr>
              <w:t>DSL Service</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&amp; Imaging</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Assurance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Corporate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90"/>
              </w:rPr>
              <w:t>Three Months Ended June 30, 2013</w:t>
            </w:r>
          </w:p>
        </w:tc>
        <w:tc>
          <w:tcPr>
            <w:tcW w:w="2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Three Months Ended June 30, 2012</w:t>
            </w:r>
          </w:p>
        </w:tc>
        <w:tc>
          <w:tcPr>
            <w:tcW w:w="2020" w:type="dxa"/>
            <w:vAlign w:val="bottom"/>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2740" w:type="dxa"/>
            <w:vAlign w:val="bottom"/>
            <w:tcBorders>
              <w:bottom w:val="single" w:sz="8" w:color="auto"/>
            </w:tcBorders>
            <w:gridSpan w:val="2"/>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Gain on sale of patent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71,443</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(16,667)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54,776</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54,926</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gridSpan w:val="3"/>
            <w:vMerge w:val="restart"/>
          </w:tcPr>
          <w:p>
            <w:pPr>
              <w:jc w:val="right"/>
              <w:ind w:right="930"/>
              <w:spacing w:after="0"/>
              <w:rPr>
                <w:sz w:val="20"/>
                <w:szCs w:val="20"/>
                <w:color w:val="auto"/>
              </w:rPr>
            </w:pPr>
            <w:r>
              <w:rPr>
                <w:rFonts w:ascii="Arial" w:cs="Arial" w:eastAsia="Arial" w:hAnsi="Arial"/>
                <w:sz w:val="18"/>
                <w:szCs w:val="18"/>
                <w:color w:val="auto"/>
              </w:rPr>
              <w:t>Segments</w:t>
            </w: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30"/>
              <w:spacing w:after="0" w:line="201" w:lineRule="exact"/>
              <w:rPr>
                <w:sz w:val="20"/>
                <w:szCs w:val="20"/>
                <w:color w:val="auto"/>
              </w:rPr>
            </w:pPr>
            <w:r>
              <w:rPr>
                <w:rFonts w:ascii="Arial" w:cs="Arial" w:eastAsia="Arial" w:hAnsi="Arial"/>
                <w:sz w:val="18"/>
                <w:szCs w:val="18"/>
                <w:color w:val="auto"/>
                <w:w w:val="97"/>
              </w:rPr>
              <w:t>Biometrics</w:t>
            </w:r>
          </w:p>
        </w:tc>
        <w:tc>
          <w:tcPr>
            <w:tcW w:w="220" w:type="dxa"/>
            <w:vAlign w:val="bottom"/>
          </w:tcPr>
          <w:p>
            <w:pPr>
              <w:spacing w:after="0"/>
              <w:rPr>
                <w:sz w:val="17"/>
                <w:szCs w:val="17"/>
                <w:color w:val="auto"/>
              </w:rPr>
            </w:pPr>
          </w:p>
        </w:tc>
        <w:tc>
          <w:tcPr>
            <w:tcW w:w="114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1"/>
              </w:rPr>
              <w:t>DSL Service</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&amp; Imaging</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Assurance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Corporate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89"/>
              </w:rPr>
              <w:t>Six Months Ended June 30, 2013</w:t>
            </w:r>
          </w:p>
        </w:tc>
        <w:tc>
          <w:tcPr>
            <w:tcW w:w="224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10,466</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3,332</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patent arrangement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w w:val="89"/>
              </w:rPr>
              <w:t>Six Months Ended June 30, 2012</w:t>
            </w:r>
          </w:p>
        </w:tc>
        <w:tc>
          <w:tcPr>
            <w:tcW w:w="2240" w:type="dxa"/>
            <w:vAlign w:val="bottom"/>
            <w:gridSpan w:val="2"/>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2520" w:type="dxa"/>
            <w:vAlign w:val="bottom"/>
            <w:tcBorders>
              <w:bottom w:val="single" w:sz="8" w:color="auto"/>
            </w:tcBorders>
            <w:vMerge w:val="continue"/>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2,614</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Gain on sale of patent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72,570</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(16,670)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55,900</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2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5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20" w:type="dxa"/>
            <w:vAlign w:val="bottom"/>
            <w:tcBorders>
              <w:bottom w:val="single" w:sz="8" w:color="DCDCDC"/>
            </w:tcBorders>
          </w:tcPr>
          <w:p>
            <w:pPr>
              <w:spacing w:after="0"/>
              <w:rPr>
                <w:sz w:val="24"/>
                <w:szCs w:val="24"/>
                <w:color w:val="auto"/>
              </w:rPr>
            </w:pPr>
          </w:p>
        </w:tc>
        <w:tc>
          <w:tcPr>
            <w:tcW w:w="132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9" w:name="page10"/>
    <w:bookmarkEnd w:id="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80" w:type="dxa"/>
            <w:vAlign w:val="bottom"/>
            <w:gridSpan w:val="5"/>
          </w:tcPr>
          <w:p>
            <w:pPr>
              <w:spacing w:after="0"/>
              <w:rPr>
                <w:sz w:val="20"/>
                <w:szCs w:val="20"/>
                <w:color w:val="auto"/>
              </w:rPr>
            </w:pPr>
            <w:r>
              <w:rPr>
                <w:rFonts w:ascii="Arial" w:cs="Arial" w:eastAsia="Arial" w:hAnsi="Arial"/>
                <w:sz w:val="18"/>
                <w:szCs w:val="18"/>
                <w:color w:val="auto"/>
                <w:w w:val="89"/>
              </w:rPr>
              <w:t>We conduct our operations in the United States and sell our products and services to domestic and</w:t>
            </w:r>
          </w:p>
        </w:tc>
        <w:tc>
          <w:tcPr>
            <w:tcW w:w="260" w:type="dxa"/>
            <w:vAlign w:val="bottom"/>
          </w:tcPr>
          <w:p>
            <w:pPr>
              <w:spacing w:after="0"/>
              <w:rPr>
                <w:sz w:val="18"/>
                <w:szCs w:val="18"/>
                <w:color w:val="auto"/>
              </w:rPr>
            </w:pPr>
          </w:p>
        </w:tc>
        <w:tc>
          <w:tcPr>
            <w:tcW w:w="3740" w:type="dxa"/>
            <w:vAlign w:val="bottom"/>
            <w:gridSpan w:val="7"/>
          </w:tcPr>
          <w:p>
            <w:pPr>
              <w:jc w:val="right"/>
              <w:spacing w:after="0"/>
              <w:rPr>
                <w:sz w:val="20"/>
                <w:szCs w:val="20"/>
                <w:color w:val="auto"/>
              </w:rPr>
            </w:pPr>
            <w:r>
              <w:rPr>
                <w:rFonts w:ascii="Arial" w:cs="Arial" w:eastAsia="Arial" w:hAnsi="Arial"/>
                <w:sz w:val="18"/>
                <w:szCs w:val="18"/>
                <w:color w:val="auto"/>
                <w:w w:val="91"/>
              </w:rPr>
              <w:t>international customers. Revenues were generated</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from the following geographic regions (in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418"/>
        </w:trPr>
        <w:tc>
          <w:tcPr>
            <w:tcW w:w="5740" w:type="dxa"/>
            <w:vAlign w:val="bottom"/>
          </w:tcPr>
          <w:p>
            <w:pPr>
              <w:ind w:left="1380"/>
              <w:spacing w:after="0"/>
              <w:rPr>
                <w:sz w:val="20"/>
                <w:szCs w:val="20"/>
                <w:color w:val="auto"/>
              </w:rPr>
            </w:pPr>
            <w:r>
              <w:rPr>
                <w:rFonts w:ascii="Arial" w:cs="Arial" w:eastAsia="Arial" w:hAnsi="Arial"/>
                <w:sz w:val="18"/>
                <w:szCs w:val="18"/>
                <w:color w:val="auto"/>
              </w:rPr>
              <w:t>United States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7,356</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5,953</w:t>
            </w:r>
          </w:p>
        </w:tc>
      </w:tr>
      <w:tr>
        <w:trPr>
          <w:trHeight w:val="216"/>
        </w:trPr>
        <w:tc>
          <w:tcPr>
            <w:tcW w:w="5740" w:type="dxa"/>
            <w:vAlign w:val="bottom"/>
          </w:tcPr>
          <w:p>
            <w:pPr>
              <w:ind w:left="13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868</w:t>
            </w:r>
          </w:p>
        </w:tc>
      </w:tr>
      <w:tr>
        <w:trPr>
          <w:trHeight w:val="237"/>
        </w:trPr>
        <w:tc>
          <w:tcPr>
            <w:tcW w:w="5740" w:type="dxa"/>
            <w:vAlign w:val="bottom"/>
          </w:tcPr>
          <w:p>
            <w:pPr>
              <w:ind w:left="1380"/>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2,163</w:t>
            </w:r>
          </w:p>
        </w:tc>
      </w:tr>
      <w:tr>
        <w:trPr>
          <w:trHeight w:val="216"/>
        </w:trPr>
        <w:tc>
          <w:tcPr>
            <w:tcW w:w="5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8,984</w:t>
            </w:r>
          </w:p>
        </w:tc>
      </w:tr>
      <w:tr>
        <w:trPr>
          <w:trHeight w:val="21"/>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There are no recently issued accounting pronouncements applicable to the Company that have not been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June 30, 2013.</w:t>
      </w:r>
    </w:p>
    <w:p>
      <w:pPr>
        <w:spacing w:after="0" w:line="197"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Gain on Sale of Patent Assets. </w:t>
      </w:r>
      <w:r>
        <w:rPr>
          <w:rFonts w:ascii="Arial" w:cs="Arial" w:eastAsia="Arial" w:hAnsi="Arial"/>
          <w:sz w:val="17"/>
          <w:szCs w:val="17"/>
          <w:color w:val="auto"/>
        </w:rPr>
        <w:t>In the second quarter of 2012, we completed a transaction to sell patents pertaining to wireless technology for $75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The proceeds from the sale were reduced by $3.8 million of transaction costs, which consisted primarily of fees from the law firm that assisted us in the sale. We recorded a $71.2 million gain on the sale of patents in the three and six months ended June 30, 2012.</w:t>
      </w:r>
    </w:p>
    <w:p>
      <w:pPr>
        <w:spacing w:after="0" w:line="192"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from patent arrangement. </w:t>
      </w:r>
      <w:r>
        <w:rPr>
          <w:rFonts w:ascii="Arial" w:cs="Arial" w:eastAsia="Arial" w:hAnsi="Arial"/>
          <w:sz w:val="18"/>
          <w:szCs w:val="18"/>
          <w:color w:val="auto"/>
        </w:rPr>
        <w:t>We entered into an arrangement with an unaffiliated third party in 2010 under which we assigned patents in return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royalties on proceeds from patent monetization efforts by the third party. We recorded $0.0 million and $0.8 million of income from this patent arrangement in the three and six months ended June 30, 2013, respectively.</w:t>
      </w:r>
    </w:p>
    <w:p>
      <w:pPr>
        <w:spacing w:after="0" w:line="204"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for the three and six months ended June 30, 2013 was $54,000 and $1.1 million, respectively. Income tax expense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was based on the U.S. statutory rate of 34%, increased by state income taxes.</w:t>
      </w:r>
    </w:p>
    <w:p>
      <w:pPr>
        <w:spacing w:after="0" w:line="192" w:lineRule="exact"/>
        <w:rPr>
          <w:rFonts w:ascii="Arial" w:cs="Arial" w:eastAsia="Arial" w:hAnsi="Arial"/>
          <w:sz w:val="18"/>
          <w:szCs w:val="18"/>
          <w:color w:val="auto"/>
        </w:rPr>
      </w:pPr>
    </w:p>
    <w:p>
      <w:pPr>
        <w:jc w:val="both"/>
        <w:ind w:left="340"/>
        <w:spacing w:after="0" w:line="302" w:lineRule="auto"/>
        <w:rPr>
          <w:rFonts w:ascii="Arial" w:cs="Arial" w:eastAsia="Arial" w:hAnsi="Arial"/>
          <w:sz w:val="18"/>
          <w:szCs w:val="18"/>
          <w:color w:val="auto"/>
        </w:rPr>
      </w:pPr>
      <w:r>
        <w:rPr>
          <w:rFonts w:ascii="Arial" w:cs="Arial" w:eastAsia="Arial" w:hAnsi="Arial"/>
          <w:sz w:val="16"/>
          <w:szCs w:val="16"/>
          <w:color w:val="auto"/>
        </w:rPr>
        <w:t>In the six months ended June 30, 2013,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In the six months ended June 30, 2013, the tax benefits from such stock-based awards were $488,000, which we recorded as an equity adjustment to additional paid-in capital.</w:t>
      </w:r>
    </w:p>
    <w:p>
      <w:pPr>
        <w:spacing w:after="0" w:line="181"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As of June 30, 2013, we had a total of $1.5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rFonts w:ascii="Arial" w:cs="Arial" w:eastAsia="Arial" w:hAnsi="Arial"/>
          <w:sz w:val="18"/>
          <w:szCs w:val="18"/>
          <w:color w:val="auto"/>
        </w:rPr>
      </w:pPr>
    </w:p>
    <w:p>
      <w:pPr>
        <w:jc w:val="both"/>
        <w:ind w:left="340"/>
        <w:spacing w:after="0" w:line="297" w:lineRule="auto"/>
        <w:rPr>
          <w:rFonts w:ascii="Arial" w:cs="Arial" w:eastAsia="Arial" w:hAnsi="Arial"/>
          <w:sz w:val="18"/>
          <w:szCs w:val="18"/>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2012 of $5.1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$488,000 equity adjustment to additional paid-in capital in the first six months of 2013 was related to these deferred tax assets.</w:t>
      </w:r>
    </w:p>
    <w:p>
      <w:pPr>
        <w:spacing w:after="0" w:line="18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Income tax expense was $16.7 million for the three and six months ended June 30, 2012. Income tax expense in 2012 was driven by a $71.2 million gain on sale of patent assets. The $16.7 million income tax expense consisted of a $4.0 million current income tax liability plus a $12.7 million non-cash adjustment related to cumulative deduction for stock options in excess of book expense that was recorded to equity.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0" w:name="page11"/>
    <w:bookmarkEnd w:id="10"/>
    <w:p>
      <w:pPr>
        <w:jc w:val="both"/>
        <w:ind w:left="332" w:hanging="332"/>
        <w:spacing w:after="0" w:line="257"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In January 2012, our Board of Directors approved the shutdown of our DSL service assurance hardware product line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previously a component of our DSL Service Assurance Segment. We completed the shutdown in 2012 and no longer have any continuing involvement with or cash flows from this product line. The results of our DSL service assurance hardware product line have been included in discontinued operations in the consolidated statements of comprehensive income. Income from discontinued operations attributable to the DSL service assurance hardware product line was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292"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tcPr>
          <w:p>
            <w:pPr>
              <w:jc w:val="right"/>
              <w:ind w:right="663"/>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2,084</w:t>
            </w: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1,840</w:t>
            </w:r>
          </w:p>
        </w:tc>
      </w:tr>
      <w:tr>
        <w:trPr>
          <w:trHeight w:val="202"/>
        </w:trPr>
        <w:tc>
          <w:tcPr>
            <w:tcW w:w="5460" w:type="dxa"/>
            <w:vAlign w:val="bottom"/>
          </w:tcPr>
          <w:p>
            <w:pPr>
              <w:ind w:left="160"/>
              <w:spacing w:after="0" w:line="201" w:lineRule="exact"/>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244</w:t>
            </w: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w:t>
            </w:r>
          </w:p>
        </w:tc>
      </w:tr>
      <w:tr>
        <w:trPr>
          <w:trHeight w:val="21"/>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73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2012,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Summary of Operations. </w:t>
      </w:r>
      <w:r>
        <w:rPr>
          <w:rFonts w:ascii="Arial" w:cs="Arial" w:eastAsia="Arial" w:hAnsi="Arial"/>
          <w:sz w:val="18"/>
          <w:szCs w:val="18"/>
          <w:color w:val="auto"/>
        </w:rPr>
        <w:t>Our active business operations are focused on: i) biometrics and imaging software and services; and ii) Digital Subscriber 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(“DSL”) service assurance software and services.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Biometrics &amp; Imaging. </w:t>
      </w:r>
      <w:r>
        <w:rPr>
          <w:rFonts w:ascii="Arial" w:cs="Arial" w:eastAsia="Arial" w:hAnsi="Arial"/>
          <w:sz w:val="17"/>
          <w:szCs w:val="17"/>
          <w:color w:val="auto"/>
        </w:rPr>
        <w:t>Our biometrics products consist of software and services used in biometric systems, and our imaging products consist of software used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in medical imaging applications. Biometrics systems are used in applications such as law enforcement, border control, national defense, secure credentialing, access control and background checks. We typically sell our biometrics software and services to: i) systems integrators that incorporate our software products into biometrics systems that they are developing on behalf of their customers; ii) OEMs that incorporate our products into their biometrics hardware and software solutions; and iii) directly to government agencies that are deploying biometrics systems. Our imaging software is primarily sold to OEMs and systems integrators that incorporate our software into their medical and imaging products.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DSL Service Assurance. </w:t>
      </w:r>
      <w:r>
        <w:rPr>
          <w:rFonts w:ascii="Arial" w:cs="Arial" w:eastAsia="Arial" w:hAnsi="Arial"/>
          <w:sz w:val="17"/>
          <w:szCs w:val="17"/>
          <w:color w:val="auto"/>
        </w:rPr>
        <w:t>Our DSL service assurance products consist of DSL software products that are used by telephone companies to improve the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their DSL service offerings. We sell our DSL service assurance software products through OEMs and directly to telephone companies.</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Other Activities. </w:t>
      </w:r>
      <w:r>
        <w:rPr>
          <w:rFonts w:ascii="Arial" w:cs="Arial" w:eastAsia="Arial" w:hAnsi="Arial"/>
          <w:sz w:val="17"/>
          <w:szCs w:val="17"/>
          <w:color w:val="auto"/>
        </w:rPr>
        <w:t>In addition to our core biometrics and imaging and DSL service assurance businesses, we have been involved with other business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have affected our historical financial results and may affect our future financial results. These activities are described below.</w:t>
      </w:r>
    </w:p>
    <w:p>
      <w:pPr>
        <w:spacing w:after="0" w:line="174"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November 2009, we were a supplier of DSL silicon intellectual property to the semiconductor industry. We continue to receive royalties from two principal customers that use our DSL silicon IP in their DSL chipsets.</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entered into an arrangement with an unaffiliated third party in 2010 under which we assigned certain patents in return for royalties on proceeds from patent monetization efforts by the third party. We recorded $0.0 million and $0.8 million of income from this patent arrangement in the three and six months ended June 30, 2013, respectively. We did not record any such income in the three and six months ended June 30, 2012. We are unable to predict how much more income we might receive from this arrangement, if any, because we do not know whether any patent monetization efforts by the third party will be successful.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2" w:name="page13"/>
    <w:bookmarkEnd w:id="12"/>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January 2012, our Board of Directors approved the shutdown of our DSL service assurance hardware product line which was previously a component of our DSL Service Assurance Segment. We completed the shutdown in 2012 and no longer have any continuing involvement with or cash flows from this product line. The results of our DSL service assurance hardware product line have been reported as discontinued operations. Income from discontinued operations attributable to the DSL service assurance hardware product line was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tcPr>
          <w:p>
            <w:pPr>
              <w:jc w:val="right"/>
              <w:ind w:right="663"/>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2,084</w:t>
            </w: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1,840</w:t>
            </w:r>
          </w:p>
        </w:tc>
      </w:tr>
      <w:tr>
        <w:trPr>
          <w:trHeight w:val="202"/>
        </w:trPr>
        <w:tc>
          <w:tcPr>
            <w:tcW w:w="5460" w:type="dxa"/>
            <w:vAlign w:val="bottom"/>
          </w:tcPr>
          <w:p>
            <w:pPr>
              <w:ind w:left="160"/>
              <w:spacing w:after="0" w:line="201" w:lineRule="exact"/>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244</w:t>
            </w: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w:t>
            </w:r>
          </w:p>
        </w:tc>
      </w:tr>
      <w:tr>
        <w:trPr>
          <w:trHeight w:val="21"/>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60" w:right="2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2012, we executed on a strategy to monetize a significant portion of our patent portfolio that was unrelated to our biometrics and DSL service assurance product lines. That effort resulted in two significant patent sales in 2012, which affected our consolidated statements of comprehensive income for the three and six months ended June 30, 2012. There was no such income in the three and six months ended June 30,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from continuing operations for the three months ended June 30, 2013 was $307,000, or $0.01 per diluted share, which compares to net income from continuing operations of $54.8 million, or $2.48 per diluted share, for the three months ended June 30, 2012. Net income from continuing operations in the three months ended June 30, 2012 included an after tax gain on the sale of patent assets of $54.6 million. Operating income before patent related income was $307,000 and $119,000 for the three months ended June 30, 2013 and 2012, respectively.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from continuing operations for the six months ended June 30, 2013 was $2.2 million, or $0.10 per diluted share, which compares to net income from continuing operations of $55.9 million, or $2.59 per diluted share, for the six months ended June 30, 2012. Net income from continuing operations in the six months ended June 30, 2012 included an after tax gain on the sale of patent assets of $54.6 million. Operating income before patent related income was $2.3 million and $1.2 million for the six months ended June 30, 2013 and 2012, respectively.</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Higher operating income before patent related expenses in the three and six month periods ended June 30, 2013 compared to the corresponding periods in 2012 was primarily due to increased profitability in our biometrics business, and lower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Software Licenses. </w:t>
      </w:r>
      <w:r>
        <w:rPr>
          <w:rFonts w:ascii="Arial" w:cs="Arial" w:eastAsia="Arial" w:hAnsi="Arial"/>
          <w:sz w:val="18"/>
          <w:szCs w:val="18"/>
          <w:color w:val="auto"/>
        </w:rPr>
        <w:t>Software licenses consist of revenue from the sale of software licenses for biometrics and imaging, and DSL service assurance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Software license revenue decreased 15% from $1.8 million in the three months ended June 30, 2012 to $1.6 million in the same three month period in 2013. As a percentage of total revenue, software license revenue decreased from 45% in the second quarter of 2012 to 32% in the current year quarter. The dollar decrease in software license revenue was primarily due to a decrease in revenue from the sale of biometrics and imaging software. Software license revenue from the sale of DSL service assurance software was approximately unchanged from the second quarter of 2012.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 periods, the decrease in biometrics and imaging licenses sales was primarily due to the timing of the receipt of customer orders.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Software license revenue increased 15% from $4.7 million in the six months ended June 30, 2012 to $5.4 million in the same six month period in 2013. As a percentage of total revenue, software license revenue decreased from 52% in the first six months of 2012 to 51% in the corresponding period in 2013. The dollar increase in software license revenue was primarily due to a $0.8 million increase in revenue from the sale of biometrics and imaging software, which was partially offset by a $0.1 million decrease in software license revenue from the sale of DSL service assurance software.</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six month periods, the increase in biometrics and imaging licenses sales was primarily due to: i) a large license sale to a U.S. government agency in the first quarter of 2013; ii) international license sales; and iii) license sales to OEM customers. The $0.1 million decrease in DSL service assurance software license revenue was primarily due to lower license revenue from a telecom supplier that uses our core Dr. DSL® technology in its products.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Software maintenance</w:t>
      </w:r>
      <w:r>
        <w:rPr>
          <w:rFonts w:ascii="Arial" w:cs="Arial" w:eastAsia="Arial" w:hAnsi="Arial"/>
          <w:sz w:val="18"/>
          <w:szCs w:val="18"/>
          <w:color w:val="auto"/>
        </w:rPr>
        <w:t>. Software maintenance consists of revenue from the sale of software maintenance contracts for biometrics and imaging, and DSL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assurance software. Software maintenance contracts entitle customers to receive software support and software updates if and when they become available.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maintenance revenue increased 21% from $0.9 million in the three months ended June 30, 2012 to $1.1 million in the same three month period in 2013. As a percentage of total revenue, software maintenance revenue was 23% in the second quarters of 2012 and 2013. The dollar increase in software maintenance revenue was primarily due to an increase in revenue from biometrics and imaging maintenance contracts. Revenue from DSL service assurance maintenance contracts was approximately unchanged from the second quarter of 2012.</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maintenance revenue increased 20% from $1.8 million in the six months ended June 30, 2012 to $2.2 million in the same six month period in 2013. As a percentage of total revenue, software maintenance revenue increased from 20% in the first six months of 2012 to 21% in the corresponding period in 2013. The dollar increase in software maintenance revenue was primarily due to an increase in revenue from biometrics and imaging maintenance contracts. Revenue from DSL service assurance maintenance contracts was approximately unchanged.</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and six month periods, the increase in revenue from biometrics and imaging maintenance contracts was primarily due to: 1) higher software license sales over the past year which generally include the purchase of software maintenance; and 2) renewals of maintenance contracts sold in prior years.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primarily consist of engineering service fees related to: i) our biometrics and imaging product line; ii) our DSL service assurance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line; and iii) a legacy DSL silicon contract.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increased 11% from $683,000 in the three months ended June 30, 2012 to $759,000 in the same three month period in 2013. As a percentage of total revenue, services decreased from 17% in the second quarter of 2012 to 16% in the current year quarter. The dollar increase in services revenue was primarily due to a $146,000 increase in revenue from the sale of biometrics engineering services, which was partially offset by a $70,000 decrease in revenue from the sale of DSL service assurance services.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 periods, the increase in revenue from biometrics engineering services was primarily due to revenue from a U.S. government contract that we received earlier this year. The decrease in revenue from DSL service assurance services was primarily due to the cessation of services to a legacy DSL silicon customer at the beginning of the first quarter of 2013.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decreased 10% from $1.4 million in the six months ended June 30, 2012 to $1.2 million in the same six month period in 2013. As a percentage of total revenue, services decreased from 15% in the first six months of 2012 to 12% in the corresponding period in 2013. The dollar decrease in services revenue was primarily due to a decrease in revenue from the sale DSL service assurance services. Revenue from the sale of biometrics engineering services was approximately unchanged.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 periods, the decrease in revenue from DSL service assurance services was primarily due to the cessation of services to a legacy DSL silicon customer at the beginning of the first quarter of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While we are attempting to grow our biometrics services business, we are unable to predict whether services revenue will trend upward or downward in future periods as we continue to develop this business.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Hardware sales. </w:t>
      </w:r>
      <w:r>
        <w:rPr>
          <w:rFonts w:ascii="Arial" w:cs="Arial" w:eastAsia="Arial" w:hAnsi="Arial"/>
          <w:sz w:val="16"/>
          <w:szCs w:val="16"/>
          <w:color w:val="auto"/>
        </w:rPr>
        <w:t>Hardware sales consist of sales of biometrics equipment to a single U.S. government customer. Over the past five years, we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biometrics software under a Small Business Innovation Research (“SBIR”) contract. When the software development phase ended in February 2013, we entered into a separate contract to supply hardware products incorporating the developed software. Hardware products sold to this customer integrate hardware purchased from third parties with embedded software from other third parties as well as Aware. We evaluated the classification of gross versus net revenue recognition and determined gross recognition was appropriate. We commenced shipments of equipment under this contract in May 2013.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sales increased from $0 in three months ended June 30, 2012 to $1.1 million in the same three month period in 2013. As a percentage of total revenue, hardware sales increased from 0% in the second quarter of 2012 to 23% in the current year quarter.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Hardware sales increased from $0 in six months ended June 30, 2012 to $1.1 million in the same six month period in 2013. As a percentage of total revenue, hardware sales increased from 0% in the first six months of 2012 to 11% in the corresponding period in 2013.</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 periods, the dollar increase in hardware sales was due to the commencement of shipments in the second quarter of 2013.</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unable to predict future hardware sales with any degree of certainty because: i) our contract with the government provides pricing, but does not obligate the government to purchase any products until it provides us with purchase orders; and ii) we have no historical experience with which to make revenue projections.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of royalty payments we receive under legacy DSL silicon contracts. We receive royalties from DSL silicon customers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incorporate our silicon IP in their DSL chipsets.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56% from $624,000 in the three months ended June 30, 2012 to $277,000 in the same three month period in 2013. As a percentage of total revenue, royalties decreased from 15% in the second quarter of 2012 to 6%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49% from $1.1 million in the six months ended June 30, 2012 to $568,000 in the same six month period in 2013. As a percentage of total revenue, royalties decreased from 12% in the first six months of 2012 to 5% in the corresponding period in 2013.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 periods, the dollar decrease in royalties was primarily due to lower DSL royalties from both of our principal licensees. Late last year, one of our licensees achieved chipset sales that exceeded certain sales thresholds in our contractual arrangement. The achievement of those sales thresholds triggered reductions in the royalty rate it is required to pay on certain products and eliminated them altogether on other products. Our other licensee also reported lower royalties to us in both the three and six month periods of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believe it is likely that royalties will continue to decline in future quarters.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Cost of Hardware Sales. </w:t>
      </w:r>
      <w:r>
        <w:rPr>
          <w:rFonts w:ascii="Arial" w:cs="Arial" w:eastAsia="Arial" w:hAnsi="Arial"/>
          <w:sz w:val="17"/>
          <w:szCs w:val="17"/>
          <w:color w:val="auto"/>
        </w:rPr>
        <w:t>Cost of hardware sales consists primarily of the cost of third party equipment and software included in hardware shipments.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hardware sales increased from $0 in three and six months ended June 30, 2012 to $813,000 in the same three and six month periods in 2013. Cost of hardware sales as a percentage of hardware sales were 72% in the three and six months ended June 30, 2013, which means that gross margins on hardware sales were 28% in both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For the three and six month periods, the dollar increase in cost of hardware sales was due to the aforementioned commencement of hardware shipments in the second quarter of 2013.</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complete customer engineering projects. Such costs primarily include: i)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salaries, stock-based compensation, fringe benefits, and facilities; and ii) engineering consultants and contractors.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services was almost unchanged at $361,000 in the three months ended June 30, 2012 and $359,000 in the same three month period in 2013. Cost of services as a percentage of services decreased from 53% in the second quarter of 2012 to 47% in the current quarter, which resulted in a corresponding increase in gross margins on services from 47% to 53%.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decreased 19% from $717,000 in the six months ended June 30, 2012 to $581,000 in the same six month period in 2013. Cost of services as a percentage of services decreased from 52% in the first six months of 2012 to 47% in the same period in 2013, which resulted in a corresponding increase in gross margins on services from 48% to 53%.</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higher gross margins on services were due to a more profitable mix of biometrics services arrangements with government and commercial customers.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Research and development expense consists of costs for: i) engineering personnel, including salaries,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fringe benefits, and facilities; ii) engineering consultants and contractors, and iii) other engineering expenses such as supplies, equipment depreciation, dues and memberships and travel. Engineering costs incurred to develop technology, products and patents related to our various product lines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2,965</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Total engineering costs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3,682</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decreased 2% from slightly more than $1.5 million in the three months ended June 30, 2012 to slightly less than $1.5 million in the same three month period in 2013. As a percentage of total revenue, research and development expense decreased from 37% in the second quarter of 2012 to 31% in the corresponding period of 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3% from $3.0 million in the six months ended June 30, 2012 to $3.1 million in the same six month period in 2013. As a percentage of total revenue, research and development expense decreased from 33% in the first six months of 2012 to 29% in the corresponding period of 2013.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 periods, slightly lower total engineering costs reflects two sets of offsetting factors. Total engineering costs decreased due to lower spending in our DSL service assurance engineering organization and lower spending for a former engineering employee who was involved with patent development and prosecution in 2012. Lower spending related to those activities was partially offset by higher spending in our biometrics engineering organization.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For the three month period, slightly lower research and development expense was due to the same set of factors that caused total engineering costs to be lower. Engineering resources consumed to deliver cost of services was approximately the same in both three month periods in 2012 and 2013.</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 period, higher research and development expense was primarily due to less engineering resources being consumed to deliver cost of services, which was partially offset by lower total engineering costs.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activities are focused primarily on developing biometrics and imaging software, and DSL service assurance software.</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 was approximately unchanged at $995,000 in the three months ended June 30, 2012 and $972,000 in the same three month period in 2013. As a percentage of total revenue, sales and marketing expense decreased from 24% in the second quarter of 2012 to 20% in the corresponding period of 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 was approximately unchanged at $2.1 million in the six months ended June 30, 2012 and $2.1 million in the same six month period in 2013. As a percentage of total revenue, sales and marketing expense decreased from 23% in the first six months of 2012 to 20% in the corresponding period of 2013.</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 periods, steady levels of selling and marketing expense reflect two sets of offsetting factors. Expenses decreased due to: i) lower expenses for a former employee who was involved with the effort to monetize patents in 2012; and ii) lower sales expenses in our DSL service assurance sales organization. The expense decrease associated with these two factors was almost entirely offset by expense growth in our biometrics sales organization. Expense growth in the biometrics sales organization was driven by new sales employees, new foreign sales agents and higher sales commissions.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14% from $1.1 million in the three months ended June 30, 2012 to $0.9 million in the same three month period in 2013. As a percentage of total revenue, general and administrative expense decreased from 26% in the second quarter of 2012 to 19% in the current year quarter.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20% from $2.1 million in the six months ended June 30, 2012 to $1.7 million in the same six month period in 2013. As a percentage of total revenue, general and administrative expense decreased from 23% in the first six months of 2012 to 16% in the corresponding period of 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 periods, lower general and administrative expense was lower primarily due to two sets of offsetting factors. Expenses decreased due to lower: i) patent prosecution legal fees; ii) audit fees; and iii) general corporate legal fees. Such expense reductions were partially offset by stock-based compensation costs associated with a stock grant to directors and officers in April 2013.</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from Patent Arrangement. </w:t>
      </w:r>
      <w:r>
        <w:rPr>
          <w:rFonts w:ascii="Arial" w:cs="Arial" w:eastAsia="Arial" w:hAnsi="Arial"/>
          <w:sz w:val="18"/>
          <w:szCs w:val="18"/>
          <w:color w:val="auto"/>
        </w:rPr>
        <w:t>We entered into an arrangement with an unaffiliated third party in 2010 under which we assigned certain patents in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royalties on proceeds from patent monetization efforts by the third party. We recorded $0.0 million and $0.8 million of income from this patent arrangement in the three and six months ended June 30, 2013, respectively. We did not record any such income in the three and six months ended June 30, 2012. We are unable to predict how much more income we might receive from this arrangement, if any, because we do not know whether any patent monetization efforts by the third party will be successful.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We recorded $58,000 and $85,000 of other income in the three and six month periods ended June 30, 2012, respectively. These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realized gains on the sale of high yield bond investments in 2012. There were no such gains in the three and six month periods ended June 30, 2013.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95% from $40,000 in three months ended June 30, 2012 to $78,000 in the same three month period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75% from $92,000 in six months ended June 30, 2012 to $161,000 in the same six month period in 2013</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the dollar increase in interest income was primarily due to: i) interest income from high yield bonds; and ii) higher cash balances as a result of the patent sales in 2012.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for the three and six months ended June 30, 2013 was $54,000 and $1.1 million, respectively. Income tax expense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was based on the U.S. statutory rate of 34%, increased by state income taxes.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six months ended June 30, 2013,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In the six months ended June 30, 2013, the tax benefits from such stock-based awards were $488,000, which we recorded as an equity adjustment to additional paid-in capital.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2013, we had a total of $1.5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2012 of $5.1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$488,000 equity adjustment to additional paid-in capital in the first six months of 2013 was related to these deferred tax assets.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$16.7 million for the three and six months ended June 30, 2012. Income tax expense in 2012 was driven by a $71.2 million gain on sale of patent assets. The $16.7 million income tax expense consisted of a $4.0 million current income tax liability plus a $12.7 million non-cash adjustment related to cumulative deduction for stock options in excess of book expense that was recorded to equity.</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from discontinued operations. </w:t>
      </w:r>
      <w:r>
        <w:rPr>
          <w:rFonts w:ascii="Arial" w:cs="Arial" w:eastAsia="Arial" w:hAnsi="Arial"/>
          <w:sz w:val="18"/>
          <w:szCs w:val="18"/>
          <w:color w:val="auto"/>
        </w:rPr>
        <w:t>Income from discontinued operations reflects operating results from our DSL service assurance hardware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that we shutdown during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2013, we had cash and cash equivalents of $75.8 million, which represented an increase of $4.7 million from December 31, 2012. The increase in cash was primarily due to $4.3 million of cash provided by operations and $534,000 of cash provided by financing activities. Cash from these two sources was partially offset by $110,000 used to purchase capital equipment.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consisted of: i) $488,000 of excess tax benefits from stock-based compensation; and ii) $46,000 of proceeds from the exercise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Capital spending was primarily related to the purchase of computer hardware used principally in engineering activities.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F to our Consolidated Financial Statements in Item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June 30, 2013 consisted of two elements:</w:t>
      </w:r>
    </w:p>
    <w:p>
      <w:pPr>
        <w:spacing w:after="0" w:line="197" w:lineRule="exact"/>
        <w:rPr>
          <w:sz w:val="20"/>
          <w:szCs w:val="20"/>
          <w:color w:val="auto"/>
        </w:rPr>
      </w:pPr>
    </w:p>
    <w:p>
      <w:pPr>
        <w:jc w:val="both"/>
        <w:ind w:left="340" w:hanging="332"/>
        <w:spacing w:after="0" w:line="264"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June 30, 2013, our cash and cash equivalents of $75.8 million were primarily invested in money market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2013, our investments of $2.0 million were invested in high yield bonds with two separate corporate debt issuers, both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mature in 2015. While we are exposed to default risk, the high current yield of these bonds largely mitigates interest rate risk. Therefore, due to the high current yield and approximate three-year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2012,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jc w:val="both"/>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jc w:val="both"/>
        <w:ind w:left="2040" w:hanging="1458"/>
        <w:spacing w:after="0" w:line="264"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Form of Unrestricted Stock Award for executive officers and directors of Aware, Inc. under the 2001 Nonqualified Plan (filed as Exhibit 10.1 to the Company’s Form 8-K filed with the Securities and Exchange Commission on April 4, 2013 and incorporated herein by reference).</w:t>
      </w:r>
    </w:p>
    <w:p>
      <w:pPr>
        <w:spacing w:after="0" w:line="208" w:lineRule="exact"/>
        <w:rPr>
          <w:sz w:val="20"/>
          <w:szCs w:val="20"/>
          <w:color w:val="auto"/>
        </w:rPr>
      </w:pPr>
    </w:p>
    <w:p>
      <w:pPr>
        <w:jc w:val="both"/>
        <w:ind w:left="2040" w:hanging="1458"/>
        <w:spacing w:after="0" w:line="257"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The following financial statements from Aware, Inc.’s Quarterly Report on Form 10-Q for the quarter ended June 30, 2013, formatted in XBRL (eXtensible Business Reporting Language), as follows: (i) Consolidated Balance Sheets as of June 30, 2013 and December 31, 2012, (ii) Consolidated Statements of Comprehensive Income for the Three and Six Months Ended June 30, 2013 and June 30, 2012, (iii) Consolidated Statements of Cash Flows for the Six Months Ended June 30, 2013 and June 30, 2012, and (iv) 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252" w:lineRule="exact"/>
        <w:rPr>
          <w:sz w:val="20"/>
          <w:szCs w:val="20"/>
          <w:color w:val="auto"/>
        </w:rPr>
      </w:pPr>
    </w:p>
    <w:p>
      <w:pPr>
        <w:jc w:val="both"/>
        <w:ind w:firstLine="8"/>
        <w:spacing w:after="0" w:line="264" w:lineRule="auto"/>
        <w:tabs>
          <w:tab w:leader="none" w:pos="2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147066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580"/>
        <w:spacing w:after="0"/>
        <w:tabs>
          <w:tab w:leader="none" w:pos="5020" w:val="left"/>
          <w:tab w:leader="none" w:pos="5460" w:val="left"/>
        </w:tabs>
        <w:rPr>
          <w:sz w:val="20"/>
          <w:szCs w:val="20"/>
          <w:color w:val="auto"/>
        </w:rPr>
      </w:pPr>
      <w:r>
        <w:rPr>
          <w:rFonts w:ascii="Arial" w:cs="Arial" w:eastAsia="Arial" w:hAnsi="Arial"/>
          <w:sz w:val="18"/>
          <w:szCs w:val="18"/>
          <w:color w:val="auto"/>
        </w:rPr>
        <w:t>Date: July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23495</wp:posOffset>
            </wp:positionV>
            <wp:extent cx="3087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580"/>
        <w:spacing w:after="0"/>
        <w:tabs>
          <w:tab w:leader="none" w:pos="5020" w:val="left"/>
          <w:tab w:leader="none" w:pos="5500" w:val="left"/>
        </w:tabs>
        <w:rPr>
          <w:sz w:val="20"/>
          <w:szCs w:val="20"/>
          <w:color w:val="auto"/>
        </w:rPr>
      </w:pPr>
      <w:r>
        <w:rPr>
          <w:rFonts w:ascii="Arial" w:cs="Arial" w:eastAsia="Arial" w:hAnsi="Arial"/>
          <w:sz w:val="18"/>
          <w:szCs w:val="18"/>
          <w:color w:val="auto"/>
        </w:rPr>
        <w:t>Date: July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14605</wp:posOffset>
            </wp:positionV>
            <wp:extent cx="3087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87370" cy="26035"/>
                    </a:xfrm>
                    <a:prstGeom prst="rect">
                      <a:avLst/>
                    </a:prstGeom>
                    <a:noFill/>
                  </pic:spPr>
                </pic:pic>
              </a:graphicData>
            </a:graphic>
          </wp:anchor>
        </w:drawing>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 (Principal Financial</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 July 26, 2013</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48895</wp:posOffset>
            </wp:positionV>
            <wp:extent cx="2615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co-Chief Executive Officer &amp; co-President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 July 26, 2013</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23495</wp:posOffset>
            </wp:positionV>
            <wp:extent cx="2615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June 30, 2013,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20" w:type="dxa"/>
            <w:vAlign w:val="bottom"/>
            <w:gridSpan w:val="2"/>
          </w:tcPr>
          <w:p>
            <w:pPr>
              <w:spacing w:after="0"/>
              <w:rPr>
                <w:sz w:val="20"/>
                <w:szCs w:val="20"/>
                <w:color w:val="auto"/>
              </w:rPr>
            </w:pPr>
            <w:r>
              <w:rPr>
                <w:rFonts w:ascii="Arial" w:cs="Arial" w:eastAsia="Arial" w:hAnsi="Arial"/>
                <w:sz w:val="18"/>
                <w:szCs w:val="18"/>
                <w:color w:val="auto"/>
              </w:rPr>
              <w:t>/s/  Kevin T. Russell</w:t>
            </w:r>
          </w:p>
        </w:tc>
        <w:tc>
          <w:tcPr>
            <w:tcW w:w="4400" w:type="dxa"/>
            <w:vAlign w:val="bottom"/>
            <w:gridSpan w:val="3"/>
          </w:tcPr>
          <w:p>
            <w:pPr>
              <w:ind w:left="1320"/>
              <w:spacing w:after="0"/>
              <w:rPr>
                <w:sz w:val="20"/>
                <w:szCs w:val="20"/>
                <w:color w:val="auto"/>
              </w:rPr>
            </w:pPr>
            <w:r>
              <w:rPr>
                <w:rFonts w:ascii="Arial" w:cs="Arial" w:eastAsia="Arial" w:hAnsi="Arial"/>
                <w:sz w:val="18"/>
                <w:szCs w:val="18"/>
                <w:color w:val="auto"/>
              </w:rPr>
              <w:t>/s/  Richard P. Moberg</w:t>
            </w:r>
          </w:p>
        </w:tc>
      </w:tr>
      <w:tr>
        <w:trPr>
          <w:trHeight w:val="202"/>
        </w:trPr>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co-Chief Executive Officer</w:t>
            </w:r>
          </w:p>
        </w:tc>
        <w:tc>
          <w:tcPr>
            <w:tcW w:w="2460" w:type="dxa"/>
            <w:vAlign w:val="bottom"/>
          </w:tcPr>
          <w:p>
            <w:pPr>
              <w:ind w:left="40"/>
              <w:spacing w:after="0" w:line="201" w:lineRule="exact"/>
              <w:rPr>
                <w:sz w:val="20"/>
                <w:szCs w:val="20"/>
                <w:color w:val="auto"/>
              </w:rPr>
            </w:pPr>
            <w:r>
              <w:rPr>
                <w:rFonts w:ascii="Arial" w:cs="Arial" w:eastAsia="Arial" w:hAnsi="Arial"/>
                <w:sz w:val="18"/>
                <w:szCs w:val="18"/>
                <w:color w:val="auto"/>
              </w:rPr>
              <w:t>&amp; co-President</w:t>
            </w:r>
          </w:p>
        </w:tc>
        <w:tc>
          <w:tcPr>
            <w:tcW w:w="1320" w:type="dxa"/>
            <w:vAlign w:val="bottom"/>
          </w:tcPr>
          <w:p>
            <w:pPr>
              <w:spacing w:after="0"/>
              <w:rPr>
                <w:sz w:val="17"/>
                <w:szCs w:val="17"/>
                <w:color w:val="auto"/>
              </w:rPr>
            </w:pPr>
          </w:p>
        </w:tc>
        <w:tc>
          <w:tcPr>
            <w:tcW w:w="1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co-Chief Executive Officer</w:t>
            </w:r>
          </w:p>
        </w:tc>
        <w:tc>
          <w:tcPr>
            <w:tcW w:w="1160" w:type="dxa"/>
            <w:vAlign w:val="bottom"/>
          </w:tcPr>
          <w:p>
            <w:pPr>
              <w:ind w:left="80"/>
              <w:spacing w:after="0" w:line="201" w:lineRule="exact"/>
              <w:rPr>
                <w:sz w:val="20"/>
                <w:szCs w:val="20"/>
                <w:color w:val="auto"/>
              </w:rPr>
            </w:pPr>
            <w:r>
              <w:rPr>
                <w:rFonts w:ascii="Arial" w:cs="Arial" w:eastAsia="Arial" w:hAnsi="Arial"/>
                <w:sz w:val="18"/>
                <w:szCs w:val="18"/>
                <w:color w:val="auto"/>
                <w:w w:val="89"/>
              </w:rPr>
              <w:t>&amp; co-President</w:t>
            </w:r>
          </w:p>
        </w:tc>
      </w:tr>
      <w:tr>
        <w:trPr>
          <w:trHeight w:val="230"/>
        </w:trPr>
        <w:tc>
          <w:tcPr>
            <w:tcW w:w="19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400" w:type="dxa"/>
            <w:vAlign w:val="bottom"/>
            <w:gridSpan w:val="3"/>
          </w:tcPr>
          <w:p>
            <w:pPr>
              <w:ind w:left="1320"/>
              <w:spacing w:after="0"/>
              <w:rPr>
                <w:sz w:val="20"/>
                <w:szCs w:val="20"/>
                <w:color w:val="auto"/>
              </w:rPr>
            </w:pPr>
            <w:r>
              <w:rPr>
                <w:rFonts w:ascii="Arial" w:cs="Arial" w:eastAsia="Arial" w:hAnsi="Arial"/>
                <w:sz w:val="18"/>
                <w:szCs w:val="18"/>
                <w:color w:val="auto"/>
              </w:rPr>
              <w:t>Chief Financial Officer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Date: July 26, 2013</w:t>
            </w:r>
          </w:p>
        </w:tc>
        <w:tc>
          <w:tcPr>
            <w:tcW w:w="4400" w:type="dxa"/>
            <w:vAlign w:val="bottom"/>
            <w:gridSpan w:val="3"/>
          </w:tcPr>
          <w:p>
            <w:pPr>
              <w:ind w:left="1320"/>
              <w:spacing w:after="0"/>
              <w:rPr>
                <w:sz w:val="20"/>
                <w:szCs w:val="20"/>
                <w:color w:val="auto"/>
              </w:rPr>
            </w:pPr>
            <w:r>
              <w:rPr>
                <w:rFonts w:ascii="Arial" w:cs="Arial" w:eastAsia="Arial" w:hAnsi="Arial"/>
                <w:sz w:val="18"/>
                <w:szCs w:val="18"/>
                <w:color w:val="auto"/>
              </w:rPr>
              <w:t>Date: July 26, 2013</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1"/>
    </w:lvl>
  </w:abstractNum>
  <w:abstractNum w:abstractNumId="1">
    <w:nsid w:val="515F007C"/>
    <w:multiLevelType w:val="hybridMultilevel"/>
    <w:lvl w:ilvl="0">
      <w:lvlJc w:val="left"/>
      <w:lvlText w:val="%1)"/>
      <w:numFmt w:val="upperLetter"/>
      <w:start w:val="3"/>
    </w:lvl>
  </w:abstractNum>
  <w:abstractNum w:abstractNumId="2">
    <w:nsid w:val="5BD062C2"/>
    <w:multiLevelType w:val="hybridMultilevel"/>
    <w:lvl w:ilvl="0">
      <w:lvlJc w:val="left"/>
      <w:lvlText w:val="%1)"/>
      <w:numFmt w:val="upperLetter"/>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5"/>
    </w:lvl>
  </w:abstractNum>
  <w:abstractNum w:abstractNumId="5">
    <w:nsid w:val="216231B"/>
    <w:multiLevelType w:val="hybridMultilevel"/>
    <w:lvl w:ilvl="0">
      <w:lvlJc w:val="left"/>
      <w:lvlText w:val="%1)"/>
      <w:numFmt w:val="upperLetter"/>
      <w:start w:val="6"/>
    </w:lvl>
  </w:abstractNum>
  <w:abstractNum w:abstractNumId="6">
    <w:nsid w:val="1F16E9E8"/>
    <w:multiLevelType w:val="hybridMultilevel"/>
    <w:lvl w:ilvl="0">
      <w:lvlJc w:val="left"/>
      <w:lvlText w:val="%1)"/>
      <w:numFmt w:val="upperLetter"/>
      <w:start w:val="10"/>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Roman"/>
      <w:start w:val="3"/>
    </w:lvl>
  </w:abstractNum>
  <w:abstractNum w:abstractNumId="9">
    <w:nsid w:val="140E0F76"/>
    <w:multiLevelType w:val="hybridMultilevel"/>
    <w:lvl w:ilvl="0">
      <w:lvlJc w:val="left"/>
      <w:lvlText w:val="%1)"/>
      <w:numFmt w:val="lowerRoman"/>
      <w:start w:val="4"/>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2019-12-06T15:22:43Z</dcterms:created>
  <dcterms:modified xsi:type="dcterms:W3CDTF">2019-12-06T15:22:43Z</dcterms:modified>
</cp:coreProperties>
</file>