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268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Massachusetts</w:t>
            </w:r>
          </w:p>
        </w:tc>
        <w:tc>
          <w:tcPr>
            <w:tcW w:w="1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04-2911026</w:t>
            </w:r>
          </w:p>
        </w:tc>
        <w:tc>
          <w:tcPr>
            <w:tcW w:w="840" w:type="dxa"/>
            <w:vAlign w:val="bottom"/>
          </w:tcPr>
          <w:p>
            <w:pPr>
              <w:spacing w:after="0"/>
              <w:rPr>
                <w:sz w:val="20"/>
                <w:szCs w:val="20"/>
                <w:color w:val="auto"/>
              </w:rPr>
            </w:pPr>
          </w:p>
        </w:tc>
      </w:tr>
      <w:tr>
        <w:trPr>
          <w:trHeight w:val="202"/>
        </w:trPr>
        <w:tc>
          <w:tcPr>
            <w:tcW w:w="560" w:type="dxa"/>
            <w:vAlign w:val="bottom"/>
          </w:tcPr>
          <w:p>
            <w:pPr>
              <w:ind w:left="60"/>
              <w:spacing w:after="0" w:line="201" w:lineRule="exact"/>
              <w:rPr>
                <w:sz w:val="20"/>
                <w:szCs w:val="20"/>
                <w:color w:val="auto"/>
              </w:rPr>
            </w:pPr>
            <w:r>
              <w:rPr>
                <w:rFonts w:ascii="Arial" w:cs="Arial" w:eastAsia="Arial" w:hAnsi="Arial"/>
                <w:sz w:val="18"/>
                <w:szCs w:val="18"/>
                <w:color w:val="auto"/>
                <w:w w:val="99"/>
              </w:rPr>
              <w:t>(State</w:t>
            </w:r>
          </w:p>
        </w:tc>
        <w:tc>
          <w:tcPr>
            <w:tcW w:w="2420" w:type="dxa"/>
            <w:vAlign w:val="bottom"/>
            <w:gridSpan w:val="2"/>
          </w:tcPr>
          <w:p>
            <w:pPr>
              <w:spacing w:after="0" w:line="201" w:lineRule="exact"/>
              <w:rPr>
                <w:sz w:val="20"/>
                <w:szCs w:val="20"/>
                <w:color w:val="auto"/>
              </w:rPr>
            </w:pPr>
            <w:r>
              <w:rPr>
                <w:rFonts w:ascii="Arial" w:cs="Arial" w:eastAsia="Arial" w:hAnsi="Arial"/>
                <w:sz w:val="18"/>
                <w:szCs w:val="18"/>
                <w:color w:val="auto"/>
              </w:rPr>
              <w:t>or Other Jurisdiction of</w:t>
            </w:r>
          </w:p>
        </w:tc>
        <w:tc>
          <w:tcPr>
            <w:tcW w:w="3360" w:type="dxa"/>
            <w:vAlign w:val="bottom"/>
            <w:gridSpan w:val="3"/>
          </w:tcPr>
          <w:p>
            <w:pPr>
              <w:jc w:val="center"/>
              <w:ind w:left="670"/>
              <w:spacing w:after="0" w:line="201" w:lineRule="exact"/>
              <w:rPr>
                <w:sz w:val="20"/>
                <w:szCs w:val="20"/>
                <w:color w:val="auto"/>
              </w:rPr>
            </w:pPr>
            <w:r>
              <w:rPr>
                <w:rFonts w:ascii="Arial" w:cs="Arial" w:eastAsia="Arial" w:hAnsi="Arial"/>
                <w:sz w:val="18"/>
                <w:szCs w:val="18"/>
                <w:color w:val="auto"/>
                <w:w w:val="93"/>
              </w:rPr>
              <w:t>(I.R.S. Employer Identification No.)</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Incorporation or Organization)</w:t>
            </w:r>
          </w:p>
        </w:tc>
        <w:tc>
          <w:tcPr>
            <w:tcW w:w="1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198" w:lineRule="exact"/>
        <w:rPr>
          <w:sz w:val="24"/>
          <w:szCs w:val="24"/>
          <w:color w:val="auto"/>
        </w:rPr>
      </w:pPr>
    </w:p>
    <w:p>
      <w:pPr>
        <w:ind w:left="3600"/>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40"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(Address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ind w:right="36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230"/>
        </w:trPr>
        <w:tc>
          <w:tcPr>
            <w:tcW w:w="3480" w:type="dxa"/>
            <w:vAlign w:val="bottom"/>
            <w:gridSpan w:val="3"/>
          </w:tcPr>
          <w:p>
            <w:pPr>
              <w:spacing w:after="0"/>
              <w:rPr>
                <w:sz w:val="20"/>
                <w:szCs w:val="20"/>
                <w:color w:val="auto"/>
              </w:rPr>
            </w:pPr>
            <w:r>
              <w:rPr>
                <w:rFonts w:ascii="Arial" w:cs="Arial" w:eastAsia="Arial" w:hAnsi="Arial"/>
                <w:sz w:val="18"/>
                <w:szCs w:val="18"/>
                <w:color w:val="auto"/>
                <w:w w:val="96"/>
              </w:rPr>
              <w:t>Large Accelerated Filer o  Accelerated Filer x</w:t>
            </w:r>
          </w:p>
        </w:tc>
        <w:tc>
          <w:tcPr>
            <w:tcW w:w="6540" w:type="dxa"/>
            <w:vAlign w:val="bottom"/>
            <w:gridSpan w:val="2"/>
          </w:tcPr>
          <w:p>
            <w:pPr>
              <w:ind w:left="60"/>
              <w:spacing w:after="0"/>
              <w:rPr>
                <w:sz w:val="20"/>
                <w:szCs w:val="20"/>
                <w:color w:val="auto"/>
              </w:rPr>
            </w:pPr>
            <w:r>
              <w:rPr>
                <w:rFonts w:ascii="Arial" w:cs="Arial" w:eastAsia="Arial" w:hAnsi="Arial"/>
                <w:sz w:val="18"/>
                <w:szCs w:val="18"/>
                <w:color w:val="auto"/>
              </w:rPr>
              <w:t>Non-Accelerated Filer o Smaller Reporting Company o</w:t>
            </w:r>
          </w:p>
        </w:tc>
        <w:tc>
          <w:tcPr>
            <w:tcW w:w="1400" w:type="dxa"/>
            <w:vAlign w:val="bottom"/>
          </w:tcPr>
          <w:p>
            <w:pPr>
              <w:spacing w:after="0"/>
              <w:rPr>
                <w:sz w:val="20"/>
                <w:szCs w:val="20"/>
                <w:color w:val="auto"/>
              </w:rPr>
            </w:pPr>
          </w:p>
        </w:tc>
      </w:tr>
      <w:tr>
        <w:trPr>
          <w:trHeight w:val="445"/>
        </w:trPr>
        <w:tc>
          <w:tcPr>
            <w:tcW w:w="10020" w:type="dxa"/>
            <w:vAlign w:val="bottom"/>
            <w:gridSpan w:val="5"/>
          </w:tcPr>
          <w:p>
            <w:pPr>
              <w:spacing w:after="0"/>
              <w:rPr>
                <w:sz w:val="20"/>
                <w:szCs w:val="20"/>
                <w:color w:val="auto"/>
              </w:rPr>
            </w:pPr>
            <w:r>
              <w:rPr>
                <w:rFonts w:ascii="Arial" w:cs="Arial" w:eastAsia="Arial" w:hAnsi="Arial"/>
                <w:sz w:val="18"/>
                <w:szCs w:val="18"/>
                <w:color w:val="auto"/>
                <w:w w:val="99"/>
              </w:rPr>
              <w:t>Indicate by check mark whether the registrant is a shell company (as defined in Rule 12b-2 of the Exchange Act). YES o  NO x</w:t>
            </w:r>
          </w:p>
        </w:tc>
        <w:tc>
          <w:tcPr>
            <w:tcW w:w="1400" w:type="dxa"/>
            <w:vAlign w:val="bottom"/>
          </w:tcPr>
          <w:p>
            <w:pPr>
              <w:spacing w:after="0"/>
              <w:rPr>
                <w:sz w:val="24"/>
                <w:szCs w:val="24"/>
                <w:color w:val="auto"/>
              </w:rPr>
            </w:pPr>
          </w:p>
        </w:tc>
      </w:tr>
      <w:tr>
        <w:trPr>
          <w:trHeight w:val="459"/>
        </w:trPr>
        <w:tc>
          <w:tcPr>
            <w:tcW w:w="10020" w:type="dxa"/>
            <w:vAlign w:val="bottom"/>
            <w:gridSpan w:val="5"/>
          </w:tcPr>
          <w:p>
            <w:pPr>
              <w:spacing w:after="0"/>
              <w:rPr>
                <w:sz w:val="20"/>
                <w:szCs w:val="20"/>
                <w:color w:val="auto"/>
              </w:rPr>
            </w:pPr>
            <w:r>
              <w:rPr>
                <w:rFonts w:ascii="Arial" w:cs="Arial" w:eastAsia="Arial" w:hAnsi="Arial"/>
                <w:sz w:val="18"/>
                <w:szCs w:val="18"/>
                <w:color w:val="auto"/>
              </w:rPr>
              <w:t>Indicate the number of shares outstanding of the issuer’s common stock as of July 25, 2012:</w:t>
            </w:r>
          </w:p>
        </w:tc>
        <w:tc>
          <w:tcPr>
            <w:tcW w:w="1400" w:type="dxa"/>
            <w:vAlign w:val="bottom"/>
          </w:tcPr>
          <w:p>
            <w:pPr>
              <w:spacing w:after="0"/>
              <w:rPr>
                <w:sz w:val="24"/>
                <w:szCs w:val="24"/>
                <w:color w:val="auto"/>
              </w:rPr>
            </w:pPr>
          </w:p>
        </w:tc>
      </w:tr>
      <w:tr>
        <w:trPr>
          <w:trHeight w:val="466"/>
        </w:trPr>
        <w:tc>
          <w:tcPr>
            <w:tcW w:w="1100" w:type="dxa"/>
            <w:vAlign w:val="bottom"/>
          </w:tcPr>
          <w:p>
            <w:pPr>
              <w:spacing w:after="0"/>
              <w:rPr>
                <w:sz w:val="24"/>
                <w:szCs w:val="2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5"/>
              </w:rPr>
              <w:t>Class</w:t>
            </w:r>
          </w:p>
        </w:tc>
        <w:tc>
          <w:tcPr>
            <w:tcW w:w="18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 Outstanding</w:t>
            </w:r>
          </w:p>
        </w:tc>
        <w:tc>
          <w:tcPr>
            <w:tcW w:w="1400" w:type="dxa"/>
            <w:vAlign w:val="bottom"/>
          </w:tcPr>
          <w:p>
            <w:pPr>
              <w:spacing w:after="0"/>
              <w:rPr>
                <w:sz w:val="24"/>
                <w:szCs w:val="24"/>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w w:val="84"/>
              </w:rPr>
              <w:t>Common Stock,</w:t>
            </w:r>
          </w:p>
        </w:tc>
        <w:tc>
          <w:tcPr>
            <w:tcW w:w="2380" w:type="dxa"/>
            <w:vAlign w:val="bottom"/>
            <w:gridSpan w:val="2"/>
          </w:tcPr>
          <w:p>
            <w:pPr>
              <w:ind w:left="120"/>
              <w:spacing w:after="0"/>
              <w:rPr>
                <w:sz w:val="20"/>
                <w:szCs w:val="20"/>
                <w:color w:val="auto"/>
              </w:rPr>
            </w:pPr>
            <w:r>
              <w:rPr>
                <w:rFonts w:ascii="Arial" w:cs="Arial" w:eastAsia="Arial" w:hAnsi="Arial"/>
                <w:sz w:val="18"/>
                <w:szCs w:val="18"/>
                <w:color w:val="auto"/>
              </w:rPr>
              <w:t>par value $0.01 per share</w:t>
            </w:r>
          </w:p>
        </w:tc>
        <w:tc>
          <w:tcPr>
            <w:tcW w:w="41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22,328,737 shares</w:t>
            </w:r>
          </w:p>
        </w:tc>
        <w:tc>
          <w:tcPr>
            <w:tcW w:w="1400" w:type="dxa"/>
            <w:vAlign w:val="bottom"/>
          </w:tcPr>
          <w:p>
            <w:pPr>
              <w:spacing w:after="0"/>
              <w:rPr>
                <w:sz w:val="20"/>
                <w:szCs w:val="20"/>
                <w:color w:val="auto"/>
              </w:rPr>
            </w:pPr>
          </w:p>
        </w:tc>
      </w:tr>
      <w:tr>
        <w:trPr>
          <w:trHeight w:val="104"/>
        </w:trPr>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71"/>
        </w:trPr>
        <w:tc>
          <w:tcPr>
            <w:tcW w:w="1100" w:type="dxa"/>
            <w:vAlign w:val="bottom"/>
            <w:shd w:val="clear" w:color="auto" w:fill="808080"/>
          </w:tcPr>
          <w:p>
            <w:pPr>
              <w:spacing w:after="0"/>
              <w:rPr>
                <w:sz w:val="6"/>
                <w:szCs w:val="6"/>
                <w:color w:val="auto"/>
              </w:rPr>
            </w:pPr>
          </w:p>
        </w:tc>
        <w:tc>
          <w:tcPr>
            <w:tcW w:w="5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414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1400" w:type="dxa"/>
            <w:vAlign w:val="bottom"/>
            <w:shd w:val="clear" w:color="auto" w:fill="808080"/>
          </w:tcPr>
          <w:p>
            <w:pPr>
              <w:spacing w:after="0"/>
              <w:rPr>
                <w:sz w:val="6"/>
                <w:szCs w:val="6"/>
                <w:color w:val="auto"/>
              </w:rPr>
            </w:pPr>
          </w:p>
        </w:tc>
      </w:tr>
      <w:tr>
        <w:trPr>
          <w:trHeight w:val="500"/>
        </w:trPr>
        <w:tc>
          <w:tcPr>
            <w:tcW w:w="1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31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9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66"/>
        </w:trPr>
        <w:tc>
          <w:tcPr>
            <w:tcW w:w="96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Page</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PART I</w:t>
            </w:r>
          </w:p>
        </w:tc>
        <w:tc>
          <w:tcPr>
            <w:tcW w:w="9900" w:type="dxa"/>
            <w:vAlign w:val="bottom"/>
          </w:tcPr>
          <w:p>
            <w:pPr>
              <w:ind w:left="300"/>
              <w:spacing w:after="0"/>
              <w:rPr>
                <w:sz w:val="20"/>
                <w:szCs w:val="20"/>
                <w:color w:val="auto"/>
              </w:rPr>
            </w:pPr>
            <w:r>
              <w:rPr>
                <w:rFonts w:ascii="Arial" w:cs="Arial" w:eastAsia="Arial" w:hAnsi="Arial"/>
                <w:sz w:val="18"/>
                <w:szCs w:val="18"/>
                <w:color w:val="auto"/>
              </w:rPr>
              <w:t>FINANCIAL INFORMATION</w:t>
            </w:r>
          </w:p>
        </w:tc>
        <w:tc>
          <w:tcPr>
            <w:tcW w:w="560" w:type="dxa"/>
            <w:vAlign w:val="bottom"/>
          </w:tcPr>
          <w:p>
            <w:pPr>
              <w:spacing w:after="0"/>
              <w:rPr>
                <w:sz w:val="18"/>
                <w:szCs w:val="18"/>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300"/>
              <w:spacing w:after="0"/>
              <w:rPr>
                <w:sz w:val="20"/>
                <w:szCs w:val="20"/>
                <w:color w:val="auto"/>
              </w:rPr>
            </w:pPr>
            <w:r>
              <w:rPr>
                <w:rFonts w:ascii="Arial" w:cs="Arial" w:eastAsia="Arial" w:hAnsi="Arial"/>
                <w:sz w:val="18"/>
                <w:szCs w:val="18"/>
                <w:color w:val="auto"/>
              </w:rPr>
              <w:t>Unaudited Consolidated Financial Statements</w:t>
            </w:r>
          </w:p>
        </w:tc>
        <w:tc>
          <w:tcPr>
            <w:tcW w:w="560" w:type="dxa"/>
            <w:vAlign w:val="bottom"/>
          </w:tcPr>
          <w:p>
            <w:pPr>
              <w:spacing w:after="0"/>
              <w:rPr>
                <w:sz w:val="24"/>
                <w:szCs w:val="24"/>
                <w:color w:val="auto"/>
              </w:rPr>
            </w:pP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Consolidated Balance Sheets as of June 30, 2012 and December 31, 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3</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w w:val="97"/>
              </w:rPr>
              <w:t>Consolidated Statements of Comprehensive Income for the Three and Six Months Ended June 30, 2012 and June 30, 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Consolidated Statements of Cash Flows for the Six Months Ended June 30, 2012 and June 30, 2011</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90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13</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9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20</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PART II</w:t>
            </w:r>
          </w:p>
        </w:tc>
        <w:tc>
          <w:tcPr>
            <w:tcW w:w="990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560" w:type="dxa"/>
            <w:vAlign w:val="bottom"/>
          </w:tcPr>
          <w:p>
            <w:pPr>
              <w:spacing w:after="0"/>
              <w:rPr>
                <w:sz w:val="24"/>
                <w:szCs w:val="24"/>
                <w:color w:val="auto"/>
              </w:rPr>
            </w:pP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9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90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90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9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432"/>
        </w:trPr>
        <w:tc>
          <w:tcPr>
            <w:tcW w:w="960" w:type="dxa"/>
            <w:vAlign w:val="bottom"/>
          </w:tcPr>
          <w:p>
            <w:pPr>
              <w:spacing w:after="0"/>
              <w:rPr>
                <w:sz w:val="24"/>
                <w:szCs w:val="24"/>
                <w:color w:val="auto"/>
              </w:rPr>
            </w:pPr>
          </w:p>
        </w:tc>
        <w:tc>
          <w:tcPr>
            <w:tcW w:w="9900" w:type="dxa"/>
            <w:vAlign w:val="bottom"/>
          </w:tcPr>
          <w:p>
            <w:pPr>
              <w:ind w:left="300"/>
              <w:spacing w:after="0"/>
              <w:rPr>
                <w:sz w:val="20"/>
                <w:szCs w:val="20"/>
                <w:color w:val="auto"/>
              </w:rPr>
            </w:pPr>
            <w:r>
              <w:rPr>
                <w:rFonts w:ascii="Arial" w:cs="Arial" w:eastAsia="Arial" w:hAnsi="Arial"/>
                <w:sz w:val="18"/>
                <w:szCs w:val="18"/>
                <w:color w:val="auto"/>
              </w:rPr>
              <w:t>Signatures</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22</w:t>
            </w:r>
          </w:p>
        </w:tc>
      </w:tr>
      <w:tr>
        <w:trPr>
          <w:trHeight w:val="675"/>
        </w:trPr>
        <w:tc>
          <w:tcPr>
            <w:tcW w:w="960" w:type="dxa"/>
            <w:vAlign w:val="bottom"/>
          </w:tcPr>
          <w:p>
            <w:pPr>
              <w:spacing w:after="0"/>
              <w:rPr>
                <w:sz w:val="24"/>
                <w:szCs w:val="24"/>
                <w:color w:val="auto"/>
              </w:rPr>
            </w:pPr>
          </w:p>
        </w:tc>
        <w:tc>
          <w:tcPr>
            <w:tcW w:w="9900" w:type="dxa"/>
            <w:vAlign w:val="bottom"/>
          </w:tcPr>
          <w:p>
            <w:pPr>
              <w:ind w:left="470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r>
      <w:tr>
        <w:trPr>
          <w:trHeight w:val="108"/>
        </w:trPr>
        <w:tc>
          <w:tcPr>
            <w:tcW w:w="96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8"/>
                <w:szCs w:val="18"/>
                <w:color w:val="auto"/>
              </w:rPr>
            </w:pPr>
          </w:p>
        </w:tc>
        <w:tc>
          <w:tcPr>
            <w:tcW w:w="1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101,058</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46,577</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105,878</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50,883</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6,232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111,943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57,851</w:t>
            </w: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 none outstanding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w w:val="94"/>
              </w:rPr>
              <w:t>Common stock, $.01 par value; 70,000,000 shares authorized; issued and outstanding 22,260,377 as of June 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2012 and 20,622,889 as of December 31, 2011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98,218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79,512</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8820" w:type="dxa"/>
            <w:vAlign w:val="bottom"/>
          </w:tcPr>
          <w:p>
            <w:pPr>
              <w:ind w:left="28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(25,123)</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103,855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54,575</w:t>
            </w: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111,943</w:t>
            </w: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57,851</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6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4,027</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3,997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8,578</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9,075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2,204</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993</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11,068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12,272</w:t>
            </w: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807</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2,111</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9,657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11,982</w:t>
            </w: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Gain on sale of patent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71,226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71,694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72,814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37"/>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16,770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54,926</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Other comprehensive income, net of $0 tax:</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7"/>
        </w:trPr>
        <w:tc>
          <w:tcPr>
            <w:tcW w:w="6080" w:type="dxa"/>
            <w:vAlign w:val="bottom"/>
          </w:tcPr>
          <w:p>
            <w:pPr>
              <w:ind w:left="100"/>
              <w:spacing w:after="0"/>
              <w:rPr>
                <w:sz w:val="20"/>
                <w:szCs w:val="20"/>
                <w:color w:val="auto"/>
              </w:rPr>
            </w:pPr>
            <w:r>
              <w:rPr>
                <w:rFonts w:ascii="Arial" w:cs="Arial" w:eastAsia="Arial" w:hAnsi="Arial"/>
                <w:sz w:val="18"/>
                <w:szCs w:val="18"/>
                <w:color w:val="auto"/>
              </w:rPr>
              <w:t>Unrealized gains (loss) on available for sale securities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54,887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56,064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r>
      <w:tr>
        <w:trPr>
          <w:trHeight w:val="21"/>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1"/>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20,461</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22,099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21,583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20,821</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885</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patent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(71,226)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Amortization of discount on 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Gain on sale of investments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Accrued income taxes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1,841</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Sales of investments</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Proceeds from sale of patent assets, net</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71,226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72,022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1,684</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Shares surrendered by employees to pay taxes related to unrestricted</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stock</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1,530</w:t>
            </w: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54,481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3,283</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46,577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39,949</w:t>
            </w: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101,058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43,232</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accompanying unaudited consolidated balance sheet, statements of comprehensive income, and statements of cash flows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reflect all adjustments (consisting only of normal recurring items) which are, in the opinion of management, necessary for a fair presentation of financial position at June 30, 2012, and of operations and cash flows for the interim periods ended June 30, 2012 and 2011.</w:t>
      </w:r>
    </w:p>
    <w:p>
      <w:pPr>
        <w:spacing w:after="0" w:line="192"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2011 in conjunction with our 2011 Annual Report on Form 10-K. This Form 10-Q should be read in conjunction with that Form 10-K.</w:t>
      </w:r>
    </w:p>
    <w:p>
      <w:pPr>
        <w:spacing w:after="0" w:line="21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The results of operations for the interim period ended June 30, 2012 are not necessarily indicative of the results to be expected for the year.</w:t>
      </w:r>
    </w:p>
    <w:p>
      <w:pPr>
        <w:spacing w:after="0" w:line="263" w:lineRule="exact"/>
        <w:rPr>
          <w:rFonts w:ascii="Arial" w:cs="Arial" w:eastAsia="Arial" w:hAnsi="Arial"/>
          <w:sz w:val="17"/>
          <w:szCs w:val="17"/>
          <w:color w:val="auto"/>
        </w:rPr>
      </w:pPr>
    </w:p>
    <w:p>
      <w:pPr>
        <w:jc w:val="both"/>
        <w:ind w:left="340" w:hanging="332"/>
        <w:spacing w:after="0" w:line="273"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Measurements. </w:t>
      </w:r>
      <w:r>
        <w:rPr>
          <w:rFonts w:ascii="Arial" w:cs="Arial" w:eastAsia="Arial" w:hAnsi="Arial"/>
          <w:sz w:val="17"/>
          <w:szCs w:val="17"/>
          <w:color w:val="auto"/>
        </w:rPr>
        <w:t>The Financial Accounting Standards Board (“FASB”) issued authoritative guidance for fair value measurements,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defines fair value, establishes a framework for measuring fair value, and expands disclosures for assets and liabilities measured at fair value in financial statements. 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05"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Our cash and cash equivalents, which primarily include money market funds, were $101.1 million and $46.6 million as of June 30, 2012 and December 31, 2011, respectively. We classified our cash and cash equivalents within Level 1 of the fair value hierarchy because they are valued using quoted market prices.</w:t>
      </w:r>
    </w:p>
    <w:p>
      <w:pPr>
        <w:spacing w:after="0" w:line="208" w:lineRule="exact"/>
        <w:rPr>
          <w:rFonts w:ascii="Arial" w:cs="Arial" w:eastAsia="Arial" w:hAnsi="Arial"/>
          <w:sz w:val="17"/>
          <w:szCs w:val="17"/>
          <w:color w:val="auto"/>
        </w:rPr>
      </w:pPr>
    </w:p>
    <w:p>
      <w:pPr>
        <w:jc w:val="both"/>
        <w:ind w:left="340"/>
        <w:spacing w:after="0" w:line="264" w:lineRule="auto"/>
        <w:rPr>
          <w:rFonts w:ascii="Arial" w:cs="Arial" w:eastAsia="Arial" w:hAnsi="Arial"/>
          <w:sz w:val="17"/>
          <w:szCs w:val="17"/>
          <w:color w:val="auto"/>
        </w:rPr>
      </w:pPr>
      <w:r>
        <w:rPr>
          <w:rFonts w:ascii="Arial" w:cs="Arial" w:eastAsia="Arial" w:hAnsi="Arial"/>
          <w:sz w:val="18"/>
          <w:szCs w:val="18"/>
          <w:color w:val="auto"/>
        </w:rPr>
        <w:t>Our investments, which consist of high yield corporate debt securities, are also classified within Level 1 of the fair value hierarchy because they are valued using quoted market prices. We categorize our investments as available-for-sale securities, and carry them at fair value in our financial statements. We had $0.7 million of available-for-sale investments as of December 31, 2011.</w:t>
      </w:r>
    </w:p>
    <w:p>
      <w:pPr>
        <w:spacing w:after="0" w:line="208" w:lineRule="exact"/>
        <w:rPr>
          <w:rFonts w:ascii="Arial" w:cs="Arial" w:eastAsia="Arial" w:hAnsi="Arial"/>
          <w:sz w:val="17"/>
          <w:szCs w:val="17"/>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with cost being determined by the first-in, first-out (“FIFO”)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56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2012</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r>
      <w:tr>
        <w:trPr>
          <w:trHeight w:val="202"/>
        </w:trPr>
        <w:tc>
          <w:tcPr>
            <w:tcW w:w="560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1160" w:type="dxa"/>
            <w:vAlign w:val="bottom"/>
            <w:tcBorders>
              <w:top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339</w:t>
            </w:r>
          </w:p>
        </w:tc>
      </w:tr>
      <w:tr>
        <w:trPr>
          <w:trHeight w:val="237"/>
        </w:trPr>
        <w:tc>
          <w:tcPr>
            <w:tcW w:w="560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208</w:t>
            </w:r>
          </w:p>
        </w:tc>
      </w:tr>
      <w:tr>
        <w:trPr>
          <w:trHeight w:val="216"/>
        </w:trPr>
        <w:tc>
          <w:tcPr>
            <w:tcW w:w="56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0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547</w:t>
            </w:r>
          </w:p>
        </w:tc>
      </w:tr>
      <w:tr>
        <w:trPr>
          <w:trHeight w:val="21"/>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47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432"/>
        </w:trPr>
        <w:tc>
          <w:tcPr>
            <w:tcW w:w="4720" w:type="dxa"/>
            <w:vAlign w:val="bottom"/>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54,926</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56,044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418"/>
        </w:trPr>
        <w:tc>
          <w:tcPr>
            <w:tcW w:w="472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21,757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21,241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20,461</w:t>
            </w:r>
          </w:p>
        </w:tc>
      </w:tr>
      <w:tr>
        <w:trPr>
          <w:trHeight w:val="237"/>
        </w:trPr>
        <w:tc>
          <w:tcPr>
            <w:tcW w:w="472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22,099</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21,583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20,821</w:t>
            </w:r>
          </w:p>
        </w:tc>
      </w:tr>
      <w:tr>
        <w:trPr>
          <w:trHeight w:val="21"/>
        </w:trPr>
        <w:tc>
          <w:tcPr>
            <w:tcW w:w="4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1"/>
        </w:trPr>
        <w:tc>
          <w:tcPr>
            <w:tcW w:w="472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0.02</w:t>
            </w:r>
          </w:p>
        </w:tc>
      </w:tr>
    </w:tbl>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the three month period ended June 30, 2011 potential common stock equivalents of 286,803 were not included in the per share calculation for diluted EPS, because we had a net loss and the effect of their inclusion would be anti-dilutive.</w:t>
      </w:r>
    </w:p>
    <w:p>
      <w:pPr>
        <w:spacing w:after="0" w:line="19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For the three month periods ended June 30, 2012 and 2011, options to purchase 826,004 and 2,927,451 shares of common stock, respectively, were outstanding, but were not included in the computation of diluted EPS because the options’ exercise prices were greater than the average market price of the common stock and thus would be anti-dilutive. For the six month periods ended June 30, 2012 and 2011, options to purchase 1,034,754 and 2,322,772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comprehensive income (in thousands):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4"/>
          </w:tcPr>
          <w:p>
            <w:pPr>
              <w:jc w:val="right"/>
              <w:ind w:right="117"/>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8"/>
                <w:szCs w:val="18"/>
                <w:color w:val="auto"/>
              </w:rPr>
            </w:pPr>
          </w:p>
        </w:tc>
      </w:t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8"/>
                <w:szCs w:val="18"/>
                <w:b w:val="1"/>
                <w:bCs w:val="1"/>
                <w:color w:val="auto"/>
                <w:w w:val="99"/>
              </w:rPr>
              <w:t>June 30,</w:t>
            </w:r>
          </w:p>
        </w:tc>
        <w:tc>
          <w:tcPr>
            <w:tcW w:w="440" w:type="dxa"/>
            <w:vAlign w:val="bottom"/>
            <w:tcBorders>
              <w:bottom w:val="single" w:sz="8" w:color="auto"/>
            </w:tcBorders>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19"/>
                <w:szCs w:val="19"/>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20" w:type="dxa"/>
            <w:vAlign w:val="bottom"/>
            <w:gridSpan w:val="2"/>
          </w:tcPr>
          <w:p>
            <w:pPr>
              <w:jc w:val="right"/>
              <w:ind w:right="663"/>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135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278</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885</w:t>
            </w:r>
          </w:p>
        </w:tc>
      </w:tr>
      <w:tr>
        <w:trPr>
          <w:trHeight w:val="21"/>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216"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to directors, officers and employees under our 2001 Nonqualified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for stock grants is determined based on the fair market value of our stock on the date of grant; provided the number of shares in the grant is fixed on the grant date.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Stock Option, SAR, and Unrestricted Stock Grant Activity</w:t>
      </w:r>
      <w:r>
        <w:rPr>
          <w:rFonts w:ascii="Arial" w:cs="Arial" w:eastAsia="Arial" w:hAnsi="Arial"/>
          <w:sz w:val="18"/>
          <w:szCs w:val="18"/>
          <w:color w:val="auto"/>
        </w:rPr>
        <w:t>. The following summarizes stock-based grant activity in 2012 and 2011.</w:t>
      </w:r>
    </w:p>
    <w:p>
      <w:pPr>
        <w:spacing w:after="0" w:line="252" w:lineRule="exact"/>
        <w:rPr>
          <w:sz w:val="20"/>
          <w:szCs w:val="20"/>
          <w:color w:val="auto"/>
        </w:rPr>
      </w:pPr>
    </w:p>
    <w:p>
      <w:pPr>
        <w:jc w:val="both"/>
        <w:ind w:left="640" w:hanging="324"/>
        <w:spacing w:after="0" w:line="264"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options and SARS – We granted stock options for 25,000 and 0 shares in the three months ended June 30, 2012 and 2011, respectively. We granted stock options for 50,000 and 0 shares in the six months ended June 30, 2012 and 2011, respectively. No SARs were granted in the three and six month periods ended June 30, 2012 and 2011.</w:t>
      </w:r>
    </w:p>
    <w:p>
      <w:pPr>
        <w:spacing w:after="0" w:line="208" w:lineRule="exact"/>
        <w:rPr>
          <w:rFonts w:ascii="Arial" w:cs="Arial" w:eastAsia="Arial" w:hAnsi="Arial"/>
          <w:sz w:val="18"/>
          <w:szCs w:val="18"/>
          <w:color w:val="auto"/>
        </w:rPr>
      </w:pPr>
    </w:p>
    <w:p>
      <w:pPr>
        <w:jc w:val="both"/>
        <w:ind w:left="640" w:hanging="324"/>
        <w:spacing w:after="0" w:line="297"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Unrestricted Stock Grants - In July 2010, we granted 575,443 shares of stock to directors, officers and employees of which 111,163 shares were issued immediately and 464,280 shares were to be issued in four equal increments on December 31, 2010, June 30, 2011, December 31, 2011, and June 30, 2012; provided that grantees remain employed on each of those dates. We expensed $94,000 and $100,000 of stock-based compensation expense related to this grant in the three months ended June 30, 2012 and 2011, respectively. We expensed $189,000 and $246,000 of stock-based compensation expense related to this grant in the six months ended June 30, 2012 and 2011, respectively.</w:t>
      </w:r>
    </w:p>
    <w:p>
      <w:pPr>
        <w:spacing w:after="0" w:line="18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7"/>
          <w:szCs w:val="17"/>
          <w:color w:val="auto"/>
        </w:rPr>
        <w:t>Shares issued in connection with the July 2010 stock grant were as follows in the six month periods ended June 30, 2012 and 2011:</w:t>
      </w:r>
    </w:p>
    <w:p>
      <w:pPr>
        <w:spacing w:after="0" w:line="263" w:lineRule="exact"/>
        <w:rPr>
          <w:rFonts w:ascii="Arial" w:cs="Arial" w:eastAsia="Arial" w:hAnsi="Arial"/>
          <w:sz w:val="16"/>
          <w:szCs w:val="16"/>
          <w:color w:val="auto"/>
        </w:rPr>
      </w:pPr>
    </w:p>
    <w:p>
      <w:pPr>
        <w:jc w:val="both"/>
        <w:ind w:left="1280" w:hanging="315"/>
        <w:spacing w:after="0" w:line="302" w:lineRule="auto"/>
        <w:tabs>
          <w:tab w:leader="none" w:pos="1280" w:val="left"/>
        </w:tabs>
        <w:numPr>
          <w:ilvl w:val="1"/>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Six months ended June 30, 2012 </w:t>
      </w:r>
      <w:r>
        <w:rPr>
          <w:rFonts w:ascii="Arial" w:cs="Arial" w:eastAsia="Arial" w:hAnsi="Arial"/>
          <w:sz w:val="16"/>
          <w:szCs w:val="16"/>
          <w:color w:val="auto"/>
        </w:rPr>
        <w:t>- We issued 76,906 shares on January 3, 2012 to officers and employees who were employed on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2011. Grantees were allowed to surrender a portion of their stock in return for the Company paying their related withholding taxes. As a result of this provision, grantees surrendered 12,153 shares of common stock and the Company paid approximately $36,000 of withholding taxes on their behalf. After the share surrender, 64,753 net shares of common stock were issued.</w:t>
      </w:r>
    </w:p>
    <w:p>
      <w:pPr>
        <w:spacing w:after="0" w:line="181" w:lineRule="exact"/>
        <w:rPr>
          <w:rFonts w:ascii="Arial" w:cs="Arial" w:eastAsia="Arial" w:hAnsi="Arial"/>
          <w:sz w:val="16"/>
          <w:szCs w:val="16"/>
          <w:color w:val="auto"/>
        </w:rPr>
      </w:pPr>
    </w:p>
    <w:p>
      <w:pPr>
        <w:jc w:val="both"/>
        <w:ind w:left="1280"/>
        <w:spacing w:after="0" w:line="264" w:lineRule="auto"/>
        <w:rPr>
          <w:rFonts w:ascii="Arial" w:cs="Arial" w:eastAsia="Arial" w:hAnsi="Arial"/>
          <w:sz w:val="16"/>
          <w:szCs w:val="16"/>
          <w:color w:val="auto"/>
        </w:rPr>
      </w:pPr>
      <w:r>
        <w:rPr>
          <w:rFonts w:ascii="Arial" w:cs="Arial" w:eastAsia="Arial" w:hAnsi="Arial"/>
          <w:sz w:val="18"/>
          <w:szCs w:val="18"/>
          <w:color w:val="auto"/>
        </w:rPr>
        <w:t>On July 2, 2012, we issued the final installment of shares related to the July 2010 stock grant to officers and employees who were employed on June 30, 2012. We issued a total of 74,668 shares less 21,288 shares surrendered by employees for withholding taxes. After the share surrender, 53,380 net shares of common stock were issued.</w:t>
      </w:r>
    </w:p>
    <w:p>
      <w:pPr>
        <w:spacing w:after="0" w:line="208" w:lineRule="exact"/>
        <w:rPr>
          <w:rFonts w:ascii="Arial" w:cs="Arial" w:eastAsia="Arial" w:hAnsi="Arial"/>
          <w:sz w:val="16"/>
          <w:szCs w:val="16"/>
          <w:color w:val="auto"/>
        </w:rPr>
      </w:pPr>
    </w:p>
    <w:p>
      <w:pPr>
        <w:jc w:val="both"/>
        <w:ind w:left="1280" w:hanging="315"/>
        <w:spacing w:after="0" w:line="286" w:lineRule="auto"/>
        <w:tabs>
          <w:tab w:leader="none" w:pos="1280" w:val="left"/>
        </w:tabs>
        <w:numPr>
          <w:ilvl w:val="1"/>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Six months ended June 30, 2011 </w:t>
      </w:r>
      <w:r>
        <w:rPr>
          <w:rFonts w:ascii="Arial" w:cs="Arial" w:eastAsia="Arial" w:hAnsi="Arial"/>
          <w:sz w:val="17"/>
          <w:szCs w:val="17"/>
          <w:color w:val="auto"/>
        </w:rPr>
        <w:t>- We issued 115,682 shares on January 4, 2011 to officers and employees who were employed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2010. Grantees surrendered 13,721 shares of common stock and the Company paid approximately $39,000 of withholding taxes on their behalf. After the share surrender, 101,961 net shares of common stock were issued.</w:t>
      </w:r>
    </w:p>
    <w:p>
      <w:pPr>
        <w:spacing w:after="0" w:line="193" w:lineRule="exact"/>
        <w:rPr>
          <w:sz w:val="20"/>
          <w:szCs w:val="20"/>
          <w:color w:val="auto"/>
        </w:rPr>
      </w:pPr>
    </w:p>
    <w:p>
      <w:pPr>
        <w:jc w:val="both"/>
        <w:ind w:left="640"/>
        <w:spacing w:after="0" w:line="279" w:lineRule="auto"/>
        <w:rPr>
          <w:sz w:val="20"/>
          <w:szCs w:val="20"/>
          <w:color w:val="auto"/>
        </w:rPr>
      </w:pPr>
      <w:r>
        <w:rPr>
          <w:rFonts w:ascii="Arial" w:cs="Arial" w:eastAsia="Arial" w:hAnsi="Arial"/>
          <w:sz w:val="17"/>
          <w:szCs w:val="17"/>
          <w:color w:val="auto"/>
        </w:rPr>
        <w:t>Our former President and CEO resigned in April 2011. As part of his separation arrangement he was granted 105,000 shares of common stock, which resulted in a stock-based compensation charge of $362,000 in the three months ended June 30, 2011. His grant contained a provision that allowed him to surrender a portion of his stock in return for the Company paying his related withholding taxes. He exercised that provision, and we issued 71,662 shares of common stock to him and paid $115,000 of withholding taxes on his behalf.</w:t>
      </w:r>
    </w:p>
    <w:p>
      <w:pPr>
        <w:spacing w:after="0" w:line="3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8" w:name="page9"/>
    <w:bookmarkEnd w:id="8"/>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Business Segments</w:t>
      </w:r>
      <w:r>
        <w:rPr>
          <w:rFonts w:ascii="Arial" w:cs="Arial" w:eastAsia="Arial" w:hAnsi="Arial"/>
          <w:sz w:val="18"/>
          <w:szCs w:val="18"/>
          <w:color w:val="auto"/>
        </w:rPr>
        <w:t>. We organize ourselves into multiple segments reporting to the chief operating decision makers. Results of operations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segments were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4"/>
          </w:tcPr>
          <w:p>
            <w:pPr>
              <w:ind w:left="760"/>
              <w:spacing w:after="0"/>
              <w:rPr>
                <w:sz w:val="20"/>
                <w:szCs w:val="20"/>
                <w:color w:val="auto"/>
              </w:rPr>
            </w:pPr>
            <w:r>
              <w:rPr>
                <w:rFonts w:ascii="Arial" w:cs="Arial" w:eastAsia="Arial" w:hAnsi="Arial"/>
                <w:sz w:val="18"/>
                <w:szCs w:val="18"/>
                <w:color w:val="auto"/>
              </w:rPr>
              <w:t>Segments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ind w:left="40"/>
              <w:spacing w:after="0" w:line="201" w:lineRule="exact"/>
              <w:rPr>
                <w:sz w:val="20"/>
                <w:szCs w:val="20"/>
                <w:color w:val="auto"/>
              </w:rPr>
            </w:pPr>
            <w:r>
              <w:rPr>
                <w:rFonts w:ascii="Arial" w:cs="Arial" w:eastAsia="Arial" w:hAnsi="Arial"/>
                <w:sz w:val="18"/>
                <w:szCs w:val="18"/>
                <w:color w:val="auto"/>
              </w:rPr>
              <w:t>Biometrics</w:t>
            </w:r>
          </w:p>
        </w:tc>
        <w:tc>
          <w:tcPr>
            <w:tcW w:w="1340" w:type="dxa"/>
            <w:vAlign w:val="bottom"/>
            <w:tcBorders>
              <w:top w:val="single" w:sz="8" w:color="auto"/>
            </w:tcBorders>
            <w:gridSpan w:val="2"/>
          </w:tcPr>
          <w:p>
            <w:pPr>
              <w:jc w:val="right"/>
              <w:ind w:right="110"/>
              <w:spacing w:after="0" w:line="201" w:lineRule="exact"/>
              <w:rPr>
                <w:sz w:val="20"/>
                <w:szCs w:val="20"/>
                <w:color w:val="auto"/>
              </w:rPr>
            </w:pPr>
            <w:r>
              <w:rPr>
                <w:rFonts w:ascii="Arial" w:cs="Arial" w:eastAsia="Arial" w:hAnsi="Arial"/>
                <w:sz w:val="18"/>
                <w:szCs w:val="18"/>
                <w:color w:val="auto"/>
              </w:rPr>
              <w:t>DSL Service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30"/>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rPr>
              <w:t>&amp; Imaging</w:t>
            </w:r>
          </w:p>
        </w:tc>
        <w:tc>
          <w:tcPr>
            <w:tcW w:w="2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Assurance</w:t>
            </w:r>
          </w:p>
        </w:tc>
        <w:tc>
          <w:tcPr>
            <w:tcW w:w="2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Corporate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color w:val="auto"/>
                <w:w w:val="93"/>
              </w:rPr>
              <w:t>Company</w:t>
            </w:r>
          </w:p>
        </w:tc>
        <w:tc>
          <w:tcPr>
            <w:tcW w:w="0" w:type="dxa"/>
            <w:vAlign w:val="bottom"/>
          </w:tcPr>
          <w:p>
            <w:pPr>
              <w:spacing w:after="0"/>
              <w:rPr>
                <w:sz w:val="1"/>
                <w:szCs w:val="1"/>
                <w:color w:val="auto"/>
              </w:rPr>
            </w:pPr>
          </w:p>
        </w:tc>
      </w:tr>
      <w:tr>
        <w:trPr>
          <w:trHeight w:val="176"/>
        </w:trPr>
        <w:tc>
          <w:tcPr>
            <w:tcW w:w="2740" w:type="dxa"/>
            <w:vAlign w:val="bottom"/>
            <w:tcBorders>
              <w:bottom w:val="single" w:sz="8" w:color="auto"/>
            </w:tcBorders>
            <w:gridSpan w:val="4"/>
          </w:tcPr>
          <w:p>
            <w:pPr>
              <w:spacing w:after="0" w:line="176" w:lineRule="exact"/>
              <w:rPr>
                <w:sz w:val="20"/>
                <w:szCs w:val="20"/>
                <w:color w:val="auto"/>
              </w:rPr>
            </w:pPr>
            <w:r>
              <w:rPr>
                <w:rFonts w:ascii="Arial" w:cs="Arial" w:eastAsia="Arial" w:hAnsi="Arial"/>
                <w:sz w:val="18"/>
                <w:szCs w:val="18"/>
                <w:b w:val="1"/>
                <w:bCs w:val="1"/>
                <w:color w:val="auto"/>
                <w:w w:val="90"/>
              </w:rPr>
              <w:t>Three Months Ended June 30, 2012</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340" w:type="dxa"/>
            <w:vAlign w:val="bottom"/>
            <w:gridSpan w:val="5"/>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1,820</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22"/>
                <w:szCs w:val="22"/>
                <w:color w:val="auto"/>
              </w:rPr>
            </w:pP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418"/>
        </w:trPr>
        <w:tc>
          <w:tcPr>
            <w:tcW w:w="4340" w:type="dxa"/>
            <w:vAlign w:val="bottom"/>
            <w:gridSpan w:val="5"/>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897</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Gain on sale of patent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71,226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4340" w:type="dxa"/>
            <w:vAlign w:val="bottom"/>
            <w:gridSpan w:val="5"/>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71,694</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(16,768)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54,926</w:t>
            </w:r>
          </w:p>
        </w:tc>
        <w:tc>
          <w:tcPr>
            <w:tcW w:w="0" w:type="dxa"/>
            <w:vAlign w:val="bottom"/>
          </w:tcPr>
          <w:p>
            <w:pPr>
              <w:spacing w:after="0"/>
              <w:rPr>
                <w:sz w:val="1"/>
                <w:szCs w:val="1"/>
                <w:color w:val="auto"/>
              </w:rPr>
            </w:pPr>
          </w:p>
        </w:tc>
      </w:tr>
      <w:tr>
        <w:trPr>
          <w:trHeight w:val="21"/>
        </w:trPr>
        <w:tc>
          <w:tcPr>
            <w:tcW w:w="4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Three Months Ended June 30, 2011</w:t>
            </w: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340" w:type="dxa"/>
            <w:vAlign w:val="bottom"/>
            <w:gridSpan w:val="5"/>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tcPr>
          <w:p>
            <w:pPr>
              <w:spacing w:after="0"/>
              <w:rPr>
                <w:sz w:val="22"/>
                <w:szCs w:val="22"/>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2,950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2,422</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40" w:type="dxa"/>
            <w:vAlign w:val="bottom"/>
          </w:tcPr>
          <w:p>
            <w:pPr>
              <w:spacing w:after="0"/>
              <w:rPr>
                <w:sz w:val="22"/>
                <w:szCs w:val="22"/>
                <w:color w:val="auto"/>
              </w:rPr>
            </w:pP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5,913</w:t>
            </w:r>
          </w:p>
        </w:tc>
        <w:tc>
          <w:tcPr>
            <w:tcW w:w="0" w:type="dxa"/>
            <w:vAlign w:val="bottom"/>
          </w:tcPr>
          <w:p>
            <w:pPr>
              <w:spacing w:after="0"/>
              <w:rPr>
                <w:sz w:val="1"/>
                <w:szCs w:val="1"/>
                <w:color w:val="auto"/>
              </w:rPr>
            </w:pPr>
          </w:p>
        </w:tc>
      </w:tr>
      <w:tr>
        <w:trPr>
          <w:trHeight w:val="418"/>
        </w:trPr>
        <w:tc>
          <w:tcPr>
            <w:tcW w:w="4340" w:type="dxa"/>
            <w:vAlign w:val="bottom"/>
            <w:gridSpan w:val="5"/>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1,038</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4340" w:type="dxa"/>
            <w:vAlign w:val="bottom"/>
            <w:gridSpan w:val="5"/>
          </w:tcPr>
          <w:p>
            <w:pPr>
              <w:spacing w:after="0" w:line="201" w:lineRule="exact"/>
              <w:rPr>
                <w:sz w:val="20"/>
                <w:szCs w:val="20"/>
                <w:color w:val="auto"/>
              </w:rPr>
            </w:pPr>
            <w:r>
              <w:rPr>
                <w:rFonts w:ascii="Arial" w:cs="Arial" w:eastAsia="Arial" w:hAnsi="Arial"/>
                <w:sz w:val="18"/>
                <w:szCs w:val="18"/>
                <w:color w:val="auto"/>
              </w:rPr>
              <w:t>Loss before provision for income taxes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Net loss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gridSpan w:val="4"/>
            <w:vMerge w:val="restart"/>
          </w:tcPr>
          <w:p>
            <w:pPr>
              <w:ind w:left="800"/>
              <w:spacing w:after="0"/>
              <w:rPr>
                <w:sz w:val="20"/>
                <w:szCs w:val="20"/>
                <w:color w:val="auto"/>
              </w:rPr>
            </w:pPr>
            <w:r>
              <w:rPr>
                <w:rFonts w:ascii="Arial" w:cs="Arial" w:eastAsia="Arial" w:hAnsi="Arial"/>
                <w:sz w:val="18"/>
                <w:szCs w:val="18"/>
                <w:color w:val="auto"/>
              </w:rPr>
              <w:t>Segments</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ind w:left="60"/>
              <w:spacing w:after="0" w:line="201" w:lineRule="exact"/>
              <w:rPr>
                <w:sz w:val="20"/>
                <w:szCs w:val="20"/>
                <w:color w:val="auto"/>
              </w:rPr>
            </w:pPr>
            <w:r>
              <w:rPr>
                <w:rFonts w:ascii="Arial" w:cs="Arial" w:eastAsia="Arial" w:hAnsi="Arial"/>
                <w:sz w:val="18"/>
                <w:szCs w:val="18"/>
                <w:color w:val="auto"/>
              </w:rPr>
              <w:t>Biometrics</w:t>
            </w:r>
          </w:p>
        </w:tc>
        <w:tc>
          <w:tcPr>
            <w:tcW w:w="260" w:type="dxa"/>
            <w:vAlign w:val="bottom"/>
          </w:tcPr>
          <w:p>
            <w:pPr>
              <w:spacing w:after="0"/>
              <w:rPr>
                <w:sz w:val="17"/>
                <w:szCs w:val="17"/>
                <w:color w:val="auto"/>
              </w:rPr>
            </w:pPr>
          </w:p>
        </w:tc>
        <w:tc>
          <w:tcPr>
            <w:tcW w:w="11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89"/>
              </w:rPr>
              <w:t>DSL Service</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410"/>
              <w:spacing w:after="0" w:line="201"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&amp; Imaging</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6"/>
              </w:rPr>
              <w:t>Assurance</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Corporate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Company</w:t>
            </w:r>
          </w:p>
        </w:tc>
        <w:tc>
          <w:tcPr>
            <w:tcW w:w="0" w:type="dxa"/>
            <w:vAlign w:val="bottom"/>
          </w:tcPr>
          <w:p>
            <w:pPr>
              <w:spacing w:after="0"/>
              <w:rPr>
                <w:sz w:val="1"/>
                <w:szCs w:val="1"/>
                <w:color w:val="auto"/>
              </w:rPr>
            </w:pPr>
          </w:p>
        </w:tc>
      </w:tr>
      <w:tr>
        <w:trPr>
          <w:trHeight w:val="176"/>
        </w:trPr>
        <w:tc>
          <w:tcPr>
            <w:tcW w:w="252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89"/>
              </w:rPr>
              <w:t>Six Months Ended June 30, 2012</w:t>
            </w:r>
          </w:p>
        </w:tc>
        <w:tc>
          <w:tcPr>
            <w:tcW w:w="1820" w:type="dxa"/>
            <w:vAlign w:val="bottom"/>
            <w:gridSpan w:val="3"/>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340" w:type="dxa"/>
            <w:vAlign w:val="bottom"/>
            <w:gridSpan w:val="5"/>
          </w:tcPr>
          <w:p>
            <w:pPr>
              <w:spacing w:after="0"/>
              <w:rPr>
                <w:sz w:val="20"/>
                <w:szCs w:val="20"/>
                <w:color w:val="auto"/>
              </w:rPr>
            </w:pPr>
            <w:r>
              <w:rPr>
                <w:rFonts w:ascii="Arial" w:cs="Arial" w:eastAsia="Arial" w:hAnsi="Arial"/>
                <w:sz w:val="18"/>
                <w:szCs w:val="18"/>
                <w:color w:val="auto"/>
              </w:rPr>
              <w:t>Revenue</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3,393</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1,115</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11,068</w:t>
            </w:r>
          </w:p>
        </w:tc>
        <w:tc>
          <w:tcPr>
            <w:tcW w:w="0" w:type="dxa"/>
            <w:vAlign w:val="bottom"/>
          </w:tcPr>
          <w:p>
            <w:pPr>
              <w:spacing w:after="0"/>
              <w:rPr>
                <w:sz w:val="1"/>
                <w:szCs w:val="1"/>
                <w:color w:val="auto"/>
              </w:rPr>
            </w:pPr>
          </w:p>
        </w:tc>
      </w:tr>
      <w:tr>
        <w:trPr>
          <w:trHeight w:val="418"/>
        </w:trPr>
        <w:tc>
          <w:tcPr>
            <w:tcW w:w="4340" w:type="dxa"/>
            <w:vAlign w:val="bottom"/>
            <w:gridSpan w:val="5"/>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2,614</w:t>
            </w: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Gain on sale of patent assets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71,226</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4340" w:type="dxa"/>
            <w:vAlign w:val="bottom"/>
            <w:gridSpan w:val="5"/>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72,814</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(16,770)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(16,770)</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
        </w:trPr>
        <w:tc>
          <w:tcPr>
            <w:tcW w:w="4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Six Months Ended June 30, 2011</w:t>
            </w: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340" w:type="dxa"/>
            <w:vAlign w:val="bottom"/>
            <w:gridSpan w:val="5"/>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w:t>
            </w:r>
          </w:p>
        </w:tc>
        <w:tc>
          <w:tcPr>
            <w:tcW w:w="1840" w:type="dxa"/>
            <w:vAlign w:val="bottom"/>
            <w:gridSpan w:val="4"/>
          </w:tcPr>
          <w:p>
            <w:pPr>
              <w:spacing w:after="0"/>
              <w:rPr>
                <w:sz w:val="22"/>
                <w:szCs w:val="22"/>
                <w:color w:val="auto"/>
              </w:rPr>
            </w:pP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5,425</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992</w:t>
            </w:r>
          </w:p>
        </w:tc>
        <w:tc>
          <w:tcPr>
            <w:tcW w:w="4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12,272</w:t>
            </w:r>
          </w:p>
        </w:tc>
        <w:tc>
          <w:tcPr>
            <w:tcW w:w="0" w:type="dxa"/>
            <w:vAlign w:val="bottom"/>
          </w:tcPr>
          <w:p>
            <w:pPr>
              <w:spacing w:after="0"/>
              <w:rPr>
                <w:sz w:val="1"/>
                <w:szCs w:val="1"/>
                <w:color w:val="auto"/>
              </w:rPr>
            </w:pPr>
          </w:p>
        </w:tc>
      </w:tr>
      <w:tr>
        <w:trPr>
          <w:trHeight w:val="418"/>
        </w:trPr>
        <w:tc>
          <w:tcPr>
            <w:tcW w:w="4340" w:type="dxa"/>
            <w:vAlign w:val="bottom"/>
            <w:gridSpan w:val="5"/>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2,065</w:t>
            </w:r>
          </w:p>
        </w:tc>
        <w:tc>
          <w:tcPr>
            <w:tcW w:w="2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24"/>
                <w:szCs w:val="2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4340" w:type="dxa"/>
            <w:vAlign w:val="bottom"/>
            <w:gridSpan w:val="5"/>
          </w:tcPr>
          <w:p>
            <w:pPr>
              <w:spacing w:after="0" w:line="201" w:lineRule="exact"/>
              <w:rPr>
                <w:sz w:val="20"/>
                <w:szCs w:val="20"/>
                <w:color w:val="auto"/>
              </w:rPr>
            </w:pPr>
            <w:r>
              <w:rPr>
                <w:rFonts w:ascii="Arial" w:cs="Arial" w:eastAsia="Arial" w:hAnsi="Arial"/>
                <w:sz w:val="18"/>
                <w:szCs w:val="18"/>
                <w:color w:val="auto"/>
              </w:rPr>
              <w:t>Income before provision for income taxes</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0"/>
              <w:spacing w:after="0" w:line="201"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4340" w:type="dxa"/>
            <w:vAlign w:val="bottom"/>
            <w:gridSpan w:val="5"/>
          </w:tcPr>
          <w:p>
            <w:pPr>
              <w:spacing w:after="0"/>
              <w:rPr>
                <w:sz w:val="20"/>
                <w:szCs w:val="20"/>
                <w:color w:val="auto"/>
              </w:rPr>
            </w:pPr>
            <w:r>
              <w:rPr>
                <w:rFonts w:ascii="Arial" w:cs="Arial" w:eastAsia="Arial" w:hAnsi="Arial"/>
                <w:sz w:val="18"/>
                <w:szCs w:val="18"/>
                <w:color w:val="auto"/>
              </w:rPr>
              <w:t>Provisions for income taxes</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40" w:type="dxa"/>
            <w:vAlign w:val="bottom"/>
            <w:gridSpan w:val="5"/>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40" w:type="dxa"/>
            <w:vAlign w:val="bottom"/>
            <w:vMerge w:val="restart"/>
          </w:tcPr>
          <w:p>
            <w:pPr>
              <w:jc w:val="right"/>
              <w:ind w:right="2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5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9" w:name="page10"/>
    <w:bookmarkEnd w:id="9"/>
    <w:p>
      <w:pPr>
        <w:ind w:left="340"/>
        <w:spacing w:after="0" w:line="277" w:lineRule="auto"/>
        <w:rPr>
          <w:sz w:val="20"/>
          <w:szCs w:val="20"/>
          <w:color w:val="auto"/>
        </w:rPr>
      </w:pPr>
      <w:r>
        <w:rPr>
          <w:rFonts w:ascii="Arial" w:cs="Arial" w:eastAsia="Arial" w:hAnsi="Arial"/>
          <w:sz w:val="18"/>
          <w:szCs w:val="18"/>
          <w:color w:val="auto"/>
        </w:rPr>
        <w:t>We conduct our operations in the United States and sell our products and services to domestic and international customers. Revenues were generated from the following geographic regions (in thousands):</w:t>
      </w:r>
    </w:p>
    <w:p>
      <w:pPr>
        <w:spacing w:after="0" w:line="19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3,571</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7,030</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6,614</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5,658</w:t>
            </w:r>
          </w:p>
        </w:tc>
      </w:tr>
      <w:tr>
        <w:trPr>
          <w:trHeight w:val="216"/>
        </w:trPr>
        <w:tc>
          <w:tcPr>
            <w:tcW w:w="5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11,068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12,272</w:t>
            </w: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single foreign countries from which we derived revenue that accounted for 10% or more of our total revenue in the three or six month periods ended June 30, 2012 and 2011.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  </w:t>
      </w:r>
      <w:r>
        <w:rPr>
          <w:rFonts w:ascii="Arial" w:cs="Arial" w:eastAsia="Arial" w:hAnsi="Arial"/>
          <w:sz w:val="17"/>
          <w:szCs w:val="17"/>
          <w:b w:val="1"/>
          <w:bCs w:val="1"/>
          <w:i w:val="1"/>
          <w:iCs w:val="1"/>
          <w:color w:val="auto"/>
        </w:rPr>
        <w:t>Statement of Stockholders’ Equity.</w:t>
      </w:r>
      <w:r>
        <w:rPr>
          <w:rFonts w:ascii="Arial" w:cs="Arial" w:eastAsia="Arial" w:hAnsi="Arial"/>
          <w:sz w:val="17"/>
          <w:szCs w:val="17"/>
          <w:color w:val="auto"/>
        </w:rPr>
        <w:t xml:space="preserve"> A statement of changes in stockholders’ equity for the six month period ended June 30, 2012 is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40" w:type="dxa"/>
            <w:vAlign w:val="bottom"/>
          </w:tcPr>
          <w:p>
            <w:pPr>
              <w:spacing w:after="0"/>
              <w:rPr>
                <w:sz w:val="18"/>
                <w:szCs w:val="18"/>
                <w:color w:val="auto"/>
              </w:rPr>
            </w:pPr>
          </w:p>
        </w:tc>
        <w:tc>
          <w:tcPr>
            <w:tcW w:w="1160" w:type="dxa"/>
            <w:vAlign w:val="bottom"/>
          </w:tcPr>
          <w:p>
            <w:pPr>
              <w:jc w:val="center"/>
              <w:ind w:right="390"/>
              <w:spacing w:after="0"/>
              <w:rPr>
                <w:sz w:val="20"/>
                <w:szCs w:val="20"/>
                <w:color w:val="auto"/>
              </w:rPr>
            </w:pPr>
            <w:r>
              <w:rPr>
                <w:rFonts w:ascii="Arial" w:cs="Arial" w:eastAsia="Arial" w:hAnsi="Arial"/>
                <w:sz w:val="18"/>
                <w:szCs w:val="18"/>
                <w:color w:val="auto"/>
                <w:w w:val="88"/>
              </w:rPr>
              <w:t>Retained</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40" w:type="dxa"/>
            <w:vAlign w:val="bottom"/>
          </w:tcPr>
          <w:p>
            <w:pPr>
              <w:spacing w:after="0"/>
              <w:rPr>
                <w:sz w:val="18"/>
                <w:szCs w:val="18"/>
                <w:color w:val="auto"/>
              </w:rPr>
            </w:pPr>
          </w:p>
        </w:tc>
        <w:tc>
          <w:tcPr>
            <w:tcW w:w="1060" w:type="dxa"/>
            <w:vAlign w:val="bottom"/>
          </w:tcPr>
          <w:p>
            <w:pPr>
              <w:jc w:val="center"/>
              <w:ind w:right="330"/>
              <w:spacing w:after="0"/>
              <w:rPr>
                <w:sz w:val="20"/>
                <w:szCs w:val="20"/>
                <w:color w:val="auto"/>
              </w:rPr>
            </w:pPr>
            <w:r>
              <w:rPr>
                <w:rFonts w:ascii="Arial" w:cs="Arial" w:eastAsia="Arial" w:hAnsi="Arial"/>
                <w:sz w:val="18"/>
                <w:szCs w:val="18"/>
                <w:color w:val="auto"/>
                <w:w w:val="88"/>
              </w:rPr>
              <w:t>Other</w:t>
            </w:r>
          </w:p>
        </w:tc>
        <w:tc>
          <w:tcPr>
            <w:tcW w:w="240" w:type="dxa"/>
            <w:vAlign w:val="bottom"/>
          </w:tcPr>
          <w:p>
            <w:pPr>
              <w:spacing w:after="0"/>
              <w:rPr>
                <w:sz w:val="18"/>
                <w:szCs w:val="18"/>
                <w:color w:val="auto"/>
              </w:rPr>
            </w:pPr>
          </w:p>
        </w:tc>
        <w:tc>
          <w:tcPr>
            <w:tcW w:w="1160" w:type="dxa"/>
            <w:vAlign w:val="bottom"/>
          </w:tcPr>
          <w:p>
            <w:pPr>
              <w:jc w:val="center"/>
              <w:ind w:right="370"/>
              <w:spacing w:after="0"/>
              <w:rPr>
                <w:sz w:val="20"/>
                <w:szCs w:val="20"/>
                <w:color w:val="auto"/>
              </w:rPr>
            </w:pPr>
            <w:r>
              <w:rPr>
                <w:rFonts w:ascii="Arial" w:cs="Arial" w:eastAsia="Arial" w:hAnsi="Arial"/>
                <w:sz w:val="18"/>
                <w:szCs w:val="18"/>
                <w:color w:val="auto"/>
                <w:w w:val="92"/>
              </w:rPr>
              <w:t>Earnings/</w:t>
            </w:r>
          </w:p>
        </w:tc>
        <w:tc>
          <w:tcPr>
            <w:tcW w:w="280" w:type="dxa"/>
            <w:vAlign w:val="bottom"/>
          </w:tcPr>
          <w:p>
            <w:pPr>
              <w:spacing w:after="0"/>
              <w:rPr>
                <w:sz w:val="18"/>
                <w:szCs w:val="18"/>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Total</w:t>
            </w:r>
          </w:p>
        </w:tc>
      </w:tr>
      <w:tr>
        <w:trPr>
          <w:trHeight w:val="237"/>
        </w:trPr>
        <w:tc>
          <w:tcPr>
            <w:tcW w:w="3320" w:type="dxa"/>
            <w:vAlign w:val="bottom"/>
          </w:tcPr>
          <w:p>
            <w:pPr>
              <w:spacing w:after="0"/>
              <w:rPr>
                <w:sz w:val="20"/>
                <w:szCs w:val="20"/>
                <w:color w:val="auto"/>
              </w:rPr>
            </w:pPr>
          </w:p>
        </w:tc>
        <w:tc>
          <w:tcPr>
            <w:tcW w:w="21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Common Stock</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(Accumulated</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Stockholders’</w:t>
            </w:r>
          </w:p>
        </w:tc>
      </w:tr>
      <w:tr>
        <w:trPr>
          <w:trHeight w:val="223"/>
        </w:trPr>
        <w:tc>
          <w:tcPr>
            <w:tcW w:w="332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Capital</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89"/>
              </w:rPr>
              <w:t>Loss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95"/>
              </w:rPr>
              <w:t>Equity</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20,623</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79,512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25,123)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54,575</w:t>
            </w:r>
          </w:p>
        </w:tc>
      </w:tr>
      <w:tr>
        <w:trPr>
          <w:trHeight w:val="418"/>
        </w:trPr>
        <w:tc>
          <w:tcPr>
            <w:tcW w:w="3320" w:type="dxa"/>
            <w:vAlign w:val="bottom"/>
          </w:tcPr>
          <w:p>
            <w:pPr>
              <w:ind w:left="140"/>
              <w:spacing w:after="0"/>
              <w:rPr>
                <w:sz w:val="20"/>
                <w:szCs w:val="20"/>
                <w:color w:val="auto"/>
              </w:rPr>
            </w:pPr>
            <w:r>
              <w:rPr>
                <w:rFonts w:ascii="Arial" w:cs="Arial" w:eastAsia="Arial" w:hAnsi="Arial"/>
                <w:sz w:val="18"/>
                <w:szCs w:val="18"/>
                <w:color w:val="auto"/>
              </w:rPr>
              <w:t>Exercise of common stock options</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92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5,770</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5,786</w:t>
            </w:r>
          </w:p>
        </w:tc>
      </w:tr>
      <w:tr>
        <w:trPr>
          <w:trHeight w:val="216"/>
        </w:trPr>
        <w:tc>
          <w:tcPr>
            <w:tcW w:w="3320" w:type="dxa"/>
            <w:vAlign w:val="bottom"/>
          </w:tcPr>
          <w:p>
            <w:pPr>
              <w:ind w:left="140"/>
              <w:spacing w:after="0"/>
              <w:rPr>
                <w:sz w:val="20"/>
                <w:szCs w:val="20"/>
                <w:color w:val="auto"/>
              </w:rPr>
            </w:pPr>
            <w:r>
              <w:rPr>
                <w:rFonts w:ascii="Arial" w:cs="Arial" w:eastAsia="Arial" w:hAnsi="Arial"/>
                <w:sz w:val="18"/>
                <w:szCs w:val="18"/>
                <w:color w:val="auto"/>
              </w:rPr>
              <w:t>Issuance of unrestricted stock</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920" w:type="dxa"/>
            <w:vAlign w:val="bottom"/>
          </w:tcPr>
          <w:p>
            <w:pPr>
              <w:spacing w:after="0"/>
              <w:rPr>
                <w:sz w:val="18"/>
                <w:szCs w:val="18"/>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Shares surrendered by employees to</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320" w:type="dxa"/>
            <w:vAlign w:val="bottom"/>
          </w:tcPr>
          <w:p>
            <w:pPr>
              <w:ind w:left="280"/>
              <w:spacing w:after="0"/>
              <w:rPr>
                <w:sz w:val="20"/>
                <w:szCs w:val="20"/>
                <w:color w:val="auto"/>
              </w:rPr>
            </w:pPr>
            <w:r>
              <w:rPr>
                <w:rFonts w:ascii="Arial" w:cs="Arial" w:eastAsia="Arial" w:hAnsi="Arial"/>
                <w:sz w:val="18"/>
                <w:szCs w:val="18"/>
                <w:color w:val="auto"/>
                <w:w w:val="99"/>
              </w:rPr>
              <w:t>pay taxes related to unrestricted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Issuance of common stock under</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320" w:type="dxa"/>
            <w:vAlign w:val="bottom"/>
          </w:tcPr>
          <w:p>
            <w:pPr>
              <w:ind w:left="320"/>
              <w:spacing w:after="0"/>
              <w:rPr>
                <w:sz w:val="20"/>
                <w:szCs w:val="20"/>
                <w:color w:val="auto"/>
              </w:rPr>
            </w:pPr>
            <w:r>
              <w:rPr>
                <w:rFonts w:ascii="Arial" w:cs="Arial" w:eastAsia="Arial" w:hAnsi="Arial"/>
                <w:sz w:val="18"/>
                <w:szCs w:val="18"/>
                <w:color w:val="auto"/>
              </w:rPr>
              <w:t>employee stock purchase plan</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Tax benefits from stock-based awards</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12,684</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12,684</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rPr>
              <w:t>Dividend payment</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(25,507)</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(25,507)</w:t>
            </w:r>
          </w:p>
        </w:tc>
      </w:tr>
      <w:tr>
        <w:trPr>
          <w:trHeight w:val="216"/>
        </w:trPr>
        <w:tc>
          <w:tcPr>
            <w:tcW w:w="3320" w:type="dxa"/>
            <w:vAlign w:val="bottom"/>
          </w:tcPr>
          <w:p>
            <w:pPr>
              <w:ind w:left="180"/>
              <w:spacing w:after="0"/>
              <w:rPr>
                <w:sz w:val="20"/>
                <w:szCs w:val="20"/>
                <w:color w:val="auto"/>
              </w:rPr>
            </w:pPr>
            <w:r>
              <w:rPr>
                <w:rFonts w:ascii="Arial" w:cs="Arial" w:eastAsia="Arial" w:hAnsi="Arial"/>
                <w:sz w:val="18"/>
                <w:szCs w:val="18"/>
                <w:color w:val="auto"/>
                <w:w w:val="99"/>
              </w:rPr>
              <w:t>Accumulated other comprehensive loss</w:t>
            </w: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33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56,044</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56,044</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rPr>
              <w:t>Balance at June 30, 2012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22,260</w:t>
            </w:r>
          </w:p>
        </w:tc>
        <w:tc>
          <w:tcPr>
            <w:tcW w:w="9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223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98,218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5,414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103,855</w:t>
            </w:r>
          </w:p>
        </w:tc>
      </w:tr>
      <w:tr>
        <w:trPr>
          <w:trHeight w:val="21"/>
        </w:trPr>
        <w:tc>
          <w:tcPr>
            <w:tcW w:w="3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We describe below recent pronouncements that have had or may have a significant effect on our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We do not discuss recent pronouncements that are not anticipated to have an impact on or are unrelated to our financial condition, results of operations, or disclosures.</w:t>
      </w:r>
    </w:p>
    <w:p>
      <w:pPr>
        <w:spacing w:after="0" w:line="208"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As of the date of this report, new pronouncements issued, but not effective until after June 30, 2012, are not expected to have a material impact on our financial condition, results of operations, or disclosures.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 of Patent Assets. </w:t>
      </w:r>
      <w:r>
        <w:rPr>
          <w:rFonts w:ascii="Arial" w:cs="Arial" w:eastAsia="Arial" w:hAnsi="Arial"/>
          <w:sz w:val="18"/>
          <w:szCs w:val="18"/>
          <w:color w:val="auto"/>
        </w:rPr>
        <w:t>On April 26, 2012, we entered into an agreement to sell the portion of our patent portfolio pertaining to wireless technology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$75 million. The transaction closed on June 21, 2012. The proceeds from the sale were reduced by $3.8 million of transaction costs, which consisted primarily of fees from the law firm that assisted us in the sale.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ind w:left="340"/>
        <w:spacing w:after="0" w:line="259" w:lineRule="auto"/>
        <w:rPr>
          <w:sz w:val="20"/>
          <w:szCs w:val="20"/>
          <w:color w:val="auto"/>
        </w:rPr>
      </w:pPr>
      <w:r>
        <w:rPr>
          <w:rFonts w:ascii="Arial" w:cs="Arial" w:eastAsia="Arial" w:hAnsi="Arial"/>
          <w:sz w:val="18"/>
          <w:szCs w:val="18"/>
          <w:color w:val="auto"/>
        </w:rPr>
        <w:t>We intend to continue to pursue patent monetization alternatives for certain other patents remaining in our patent portfolio. We are unable to predict the size or the timing of any future potential transactions involving such patents or whether such transactions will be completed. We believe that the sale of wireless patents will have no material impact on our biometrics and imaging and DSL service assurance product lines, which we will continue after the patent sale.</w:t>
      </w:r>
    </w:p>
    <w:p>
      <w:pPr>
        <w:spacing w:after="0" w:line="210" w:lineRule="exact"/>
        <w:rPr>
          <w:sz w:val="20"/>
          <w:szCs w:val="20"/>
          <w:color w:val="auto"/>
        </w:rPr>
      </w:pPr>
    </w:p>
    <w:p>
      <w:pPr>
        <w:jc w:val="both"/>
        <w:ind w:left="34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gain on sale of patent assets was primarily responsible for producing $72.8 million of income before taxes in the six month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2012. We used a significant portion our deferred tax assets available as of June 30, 2012 to reduce income taxes on year-to-date pre-tax earnings. Consequently, we recorded a $4.1 million income tax liability as of June 30, 2012, which consisted of $3.1 million of federal income taxes and $1.0 million of state income taxes.</w:t>
      </w:r>
    </w:p>
    <w:p>
      <w:pPr>
        <w:spacing w:after="0" w:line="211" w:lineRule="exact"/>
        <w:rPr>
          <w:rFonts w:ascii="Arial" w:cs="Arial" w:eastAsia="Arial" w:hAnsi="Arial"/>
          <w:sz w:val="18"/>
          <w:szCs w:val="18"/>
          <w:color w:val="auto"/>
        </w:rPr>
      </w:pPr>
    </w:p>
    <w:p>
      <w:pPr>
        <w:jc w:val="both"/>
        <w:ind w:left="340"/>
        <w:spacing w:after="0" w:line="273" w:lineRule="auto"/>
        <w:rPr>
          <w:rFonts w:ascii="Arial" w:cs="Arial" w:eastAsia="Arial" w:hAnsi="Arial"/>
          <w:sz w:val="18"/>
          <w:szCs w:val="18"/>
          <w:color w:val="auto"/>
        </w:rPr>
      </w:pPr>
      <w:r>
        <w:rPr>
          <w:rFonts w:ascii="Arial" w:cs="Arial" w:eastAsia="Arial" w:hAnsi="Arial"/>
          <w:sz w:val="17"/>
          <w:szCs w:val="17"/>
          <w:color w:val="auto"/>
        </w:rPr>
        <w:t>A substantial portion of the deferred tax assets we utilized comprised cumulative deductions for stock options in excess of book expense. Under income tax accounting rules, that portion of tax benefits attributable to such deductions must be recorded as an adjustment to equity versus a reduction of income tax expense. In the three months ended June 30, 2012, the tax benefits from such stock-based awards were $12.7 million, which we recorded as an equity adjustment to additional paid-in capital. After the equity adjustment, we recorded $16.8 million of income tax expense in the statement of comprehensive income during the three months ended June 30, 2012. The $16.8 million income tax expense consists of the $4.1 million current income tax liability plus the $12.7 million non-cash adjustment that was recorded to equity.</w:t>
      </w:r>
    </w:p>
    <w:p>
      <w:pPr>
        <w:spacing w:after="0" w:line="20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We continue to record a full valuation allowance against our remaining deferred tax assets because 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w:t>
      </w:r>
    </w:p>
    <w:p>
      <w:pPr>
        <w:spacing w:after="0" w:line="208"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19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In April 2012, our board of directors declared a special cash dividend of $1.15 per share. The dividend was paid on May 25, 2012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of record as of May 11, 2012. The total amount of the dividend paid was $25.5 million.</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Variable Interest Entity. </w:t>
      </w:r>
      <w:r>
        <w:rPr>
          <w:rFonts w:ascii="Arial" w:cs="Arial" w:eastAsia="Arial" w:hAnsi="Arial"/>
          <w:sz w:val="18"/>
          <w:szCs w:val="18"/>
          <w:color w:val="auto"/>
        </w:rPr>
        <w:t>We have a patent arrangement with a third party that we classify as a variable interest entity. We have no equity interest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contractually obligated to fund this entity; therefore our maximum exposure to loss as a result of our involvement with this entity is zero. We may receive royalties in the future if certain conditions are met.</w:t>
      </w:r>
    </w:p>
    <w:p>
      <w:pPr>
        <w:spacing w:after="0" w:line="208"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We are not the primary beneficiary of this entity because of shared power. Therefore, we do not consolidate this entity’s financial results into our financial statements. The significant factors used to determine shared power were the contractual provisions within the arrangement that do not provide us with the power to direct the activities that most significantly impact the economic performance of the entity. The carrying amount of the assets and liabilities of this entity in our balance sheet is zero. This arrangement had no impact on our results of operations, financial position or cash flows, including the three and six month periods ended June 30, 2012 and 2011.</w:t>
      </w:r>
    </w:p>
    <w:p>
      <w:pPr>
        <w:spacing w:after="0" w:line="215" w:lineRule="exact"/>
        <w:rPr>
          <w:rFonts w:ascii="Arial" w:cs="Arial" w:eastAsia="Arial" w:hAnsi="Arial"/>
          <w:sz w:val="18"/>
          <w:szCs w:val="18"/>
          <w:color w:val="auto"/>
        </w:rPr>
      </w:pPr>
    </w:p>
    <w:p>
      <w:pPr>
        <w:jc w:val="both"/>
        <w:ind w:left="300" w:hanging="292"/>
        <w:spacing w:after="0" w:line="259" w:lineRule="auto"/>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DSL Service Assurance Hardware Exit. </w:t>
      </w:r>
      <w:r>
        <w:rPr>
          <w:rFonts w:ascii="Arial" w:cs="Arial" w:eastAsia="Arial" w:hAnsi="Arial"/>
          <w:sz w:val="18"/>
          <w:szCs w:val="18"/>
          <w:color w:val="auto"/>
        </w:rPr>
        <w:t>In January 2012, our Board of Directors approved the shutdown of our DSL service assurance hardware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We will continue to build and ship DSL service assurance hardware products to fulfill customer orders that were received as of the date of the shutdown notice. DSL hardware revenue and expenses will continue in 2012 until we complete the shutdown, which we currently anticipate will be during the third quarter of 2012.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left="340"/>
        <w:spacing w:after="0" w:line="273" w:lineRule="auto"/>
        <w:rPr>
          <w:sz w:val="20"/>
          <w:szCs w:val="20"/>
          <w:color w:val="auto"/>
        </w:rPr>
      </w:pPr>
      <w:r>
        <w:rPr>
          <w:rFonts w:ascii="Arial" w:cs="Arial" w:eastAsia="Arial" w:hAnsi="Arial"/>
          <w:sz w:val="17"/>
          <w:szCs w:val="17"/>
          <w:color w:val="auto"/>
        </w:rPr>
        <w:t>We estimate that exiting this product line will produce a small amount of operating income in the first nine months of 2012. This estimated income consists of revenue from final hardware shipments less the following costs: i) cost of goods sold, ii) engineering and sales expenses to support final product shipments, and iii) one-time costs related to the shutdown of approximately $282,000, the majority of which are severance and employee-related costs. In the three and six months ended June 30, 2012, we incurred approximately $181,000 and $101,000 of shutdown costs, respectively. In the three and six months ended June 30, 2012, a total of $282,000 of shutdown costs were included in the following lines of the statement of comprehensive income: i) cost of product sales; ii) research and development; and iii) general and administrative.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Exit cost activities for the three month periods ended March 31, 2012 and June 30, 2012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Balance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Balance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6"/>
              </w:rPr>
              <w:t>Balance</w:t>
            </w:r>
          </w:p>
        </w:tc>
      </w:tr>
      <w:tr>
        <w:trPr>
          <w:trHeight w:val="216"/>
        </w:trPr>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December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Arial" w:cs="Arial" w:eastAsia="Arial" w:hAnsi="Arial"/>
                <w:sz w:val="18"/>
                <w:szCs w:val="18"/>
                <w:b w:val="1"/>
                <w:bCs w:val="1"/>
                <w:color w:val="auto"/>
                <w:w w:val="98"/>
              </w:rPr>
              <w:t>March</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5"/>
              </w:rPr>
              <w:t>June</w:t>
            </w:r>
          </w:p>
        </w:tc>
      </w:tr>
      <w:tr>
        <w:trPr>
          <w:trHeight w:val="241"/>
        </w:trPr>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31, 2011</w:t>
            </w: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Expense</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Utilization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31, 2012</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Expense</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Utilization</w:t>
            </w: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30, 2012</w:t>
            </w:r>
          </w:p>
        </w:tc>
      </w:tr>
      <w:tr>
        <w:trPr>
          <w:trHeight w:val="432"/>
        </w:trPr>
        <w:tc>
          <w:tcPr>
            <w:tcW w:w="1540" w:type="dxa"/>
            <w:vAlign w:val="bottom"/>
          </w:tcPr>
          <w:p>
            <w:pPr>
              <w:ind w:left="420"/>
              <w:spacing w:after="0"/>
              <w:rPr>
                <w:sz w:val="20"/>
                <w:szCs w:val="20"/>
                <w:color w:val="auto"/>
              </w:rPr>
            </w:pPr>
            <w:r>
              <w:rPr>
                <w:rFonts w:ascii="Arial" w:cs="Arial" w:eastAsia="Arial" w:hAnsi="Arial"/>
                <w:sz w:val="18"/>
                <w:szCs w:val="18"/>
                <w:color w:val="auto"/>
              </w:rPr>
              <w:t>Exit costs</w:t>
            </w:r>
          </w:p>
        </w:tc>
        <w:tc>
          <w:tcPr>
            <w:tcW w:w="14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ind w:left="740"/>
              <w:spacing w:after="0"/>
              <w:rPr>
                <w:sz w:val="20"/>
                <w:szCs w:val="20"/>
                <w:color w:val="auto"/>
              </w:rPr>
            </w:pPr>
            <w:r>
              <w:rPr>
                <w:rFonts w:ascii="Arial" w:cs="Arial" w:eastAsia="Arial" w:hAnsi="Arial"/>
                <w:sz w:val="18"/>
                <w:szCs w:val="18"/>
                <w:color w:val="auto"/>
              </w:rPr>
              <w:t>104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1540" w:type="dxa"/>
            <w:vAlign w:val="bottom"/>
          </w:tcPr>
          <w:p>
            <w:pPr>
              <w:jc w:val="right"/>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608"/>
        </w:trPr>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8"/>
        </w:trPr>
        <w:tc>
          <w:tcPr>
            <w:tcW w:w="15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2011,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 Further, there can be no assurance as to the timing of possible transactions with respect to our patent portfolio or whether such transactions will be completed.</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Summary of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been a supplier of signal processing and digital communications technology for imaging and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since the early 1990s. Presently, our business operations are focused along three product lines: i) biometrics and imaging; ii) DSL service assurance; and iii) patent management.</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Biometrics &amp; Imaging. </w:t>
      </w:r>
      <w:r>
        <w:rPr>
          <w:rFonts w:ascii="Arial" w:cs="Arial" w:eastAsia="Arial" w:hAnsi="Arial"/>
          <w:sz w:val="17"/>
          <w:szCs w:val="17"/>
          <w:color w:val="auto"/>
        </w:rPr>
        <w:t>Our biometrics products consist of software and services used in biometric systems, and our imaging products consist of software used</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in medical imaging applications. Biometrics systems are used in applications such as law enforcement, border control, national defense, secure credentialing, access control and background checks. We typically sell our biometrics software and services to: i) systems integrators that incorporate our software products into biometrics systems that they are developing on behalf of their customers; ii) OEMs that incorporate our products into their biometrics hardware and software solutions; and iii) directly to government agencies that are deploying biometrics systems. Our imaging software is primarily sold to OEMs and systems integrators that incorporate our software into their medical and imaging products.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DSL Service Assurance. </w:t>
      </w:r>
      <w:r>
        <w:rPr>
          <w:rFonts w:ascii="Arial" w:cs="Arial" w:eastAsia="Arial" w:hAnsi="Arial"/>
          <w:sz w:val="18"/>
          <w:szCs w:val="18"/>
          <w:color w:val="auto"/>
        </w:rPr>
        <w:t>Our DSL service assurance products consist of DSL software and hardware products that are used by telephone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quality of their DSL service offerings. We sell our DSL service assurance software products through OEMs and directly to telephone companies. Our DSL service assurance hardware products are typically sold to OEMs that incorporate our modules into their automated testhead and handheld test equipment. Our OEM customers sell their equipment to telephone companies.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January 2012, our Board of Directors approved the shutdown of our DSL service assurance hardware product line. We will continue to build and ship DSL service assurance hardware products to fulfill customer orders that were received as of the date of the shutdown notice. DSL hardware revenue and expenses will continue in 2012 until we complete the shutdown, which currently we anticipate will be in the third quarter of 2012.</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estimate that exiting this product line will produce a modest amount of operating income in the first nine months of 2012. DSL hardware operating income consisted of revenue from final hardware shipments less the following direct costs: i) cost of goods sold, ii) engineering and sales expenses to support final product shipments, and iii) one-time costs related to the shutdown, the majority of which were severance and employee-related costs. Shutdown costs of $101,000 and $282,000 were included in expenses for the three and six month periods ended June 30, 2012, respectively.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Revenue and expenses directly attributable to the DSL service assurance hardware product line were (in 000s):</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5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418"/>
        </w:trPr>
        <w:tc>
          <w:tcPr>
            <w:tcW w:w="5920" w:type="dxa"/>
            <w:vAlign w:val="bottom"/>
          </w:tcPr>
          <w:p>
            <w:pPr>
              <w:spacing w:after="0"/>
              <w:rPr>
                <w:sz w:val="20"/>
                <w:szCs w:val="20"/>
                <w:color w:val="auto"/>
              </w:rPr>
            </w:pPr>
            <w:r>
              <w:rPr>
                <w:rFonts w:ascii="Arial" w:cs="Arial" w:eastAsia="Arial" w:hAnsi="Arial"/>
                <w:sz w:val="18"/>
                <w:szCs w:val="18"/>
                <w:color w:val="auto"/>
              </w:rPr>
              <w:t>Hardware revenue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88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1,603</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2,084</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3,353</w:t>
            </w:r>
          </w:p>
        </w:tc>
      </w:tr>
      <w:tr>
        <w:trPr>
          <w:trHeight w:val="237"/>
        </w:trPr>
        <w:tc>
          <w:tcPr>
            <w:tcW w:w="5920" w:type="dxa"/>
            <w:vAlign w:val="bottom"/>
          </w:tcPr>
          <w:p>
            <w:pPr>
              <w:spacing w:after="0"/>
              <w:rPr>
                <w:sz w:val="20"/>
                <w:szCs w:val="20"/>
                <w:color w:val="auto"/>
              </w:rPr>
            </w:pPr>
            <w:r>
              <w:rPr>
                <w:rFonts w:ascii="Arial" w:cs="Arial" w:eastAsia="Arial" w:hAnsi="Arial"/>
                <w:sz w:val="18"/>
                <w:szCs w:val="18"/>
                <w:color w:val="auto"/>
              </w:rPr>
              <w:t>Direct expenses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1,656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1,835</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3,545</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1"/>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Notwithstanding our decision to exit the DSL service assurance hardware business, we remain committed to developing our LDP software product and growing our DSL service assurance software business. There are essentially no technological or market dependencies between our DSL service assurance hardware and software product lines.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Patent Management</w:t>
      </w:r>
      <w:r>
        <w:rPr>
          <w:rFonts w:ascii="Arial" w:cs="Arial" w:eastAsia="Arial" w:hAnsi="Arial"/>
          <w:sz w:val="18"/>
          <w:szCs w:val="18"/>
          <w:color w:val="auto"/>
        </w:rPr>
        <w:t>. As we previously disclosed, our board of directors has been considering strategic options with respect to the monetization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portion of our patent portfolio.</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21, 2012, we closed an agreement to sell patents pertaining to wireless technology for $75 million. Net proceeds from that transaction after transaction costs were $71.2 million and were included in the “Gain on sale of patent assets” line of our statement of comprehensive income for the three and six months ended June 30,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pursue patent monetization alternatives for certain other patents remaining in our patent portfolio. We are unable to predict the size or the timing of any future potential transactions involving such patents or whether such transactions will be completed.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to November 2009, we were also a supplier of DSL silicon intellectual property to the semiconductor industry. We continue to receive royalties from two customers that use our DSL silicon IP in their DSL chipsets.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three months ended June 30, 2012 was $54.9 million, or $2.49 per diluted share, which compares to a net loss of $267,000, or $0.01 per diluted share, for the three months ended June 30, 2011. Income from operations for the three months ended June 30, 2012 was $445,000, which compares to a loss from operations of $283,000 for the three months ended June 30, 2011.</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six months ended June 30, 2012 was $56.0 million, or $2.60 per diluted share, which compares to net income of $323,000, or $0.02 per diluted share, for the six months ended June 30, 2011. Income from operations for the six months ended June 30, 2012 was $1.5 million, which compares to $290,000 for the six months ended June 30, 2011.</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Higher net income in three and six month periods ended June 30, 2012 versus the corresponding periods in 2011 was primarily a result of the $71.2 million gain on the sale of patent assets. To a lesser degree, higher net income in 2012 was also driven by higher income from operations. Improved operating income in 2012 was primarily a result of: i) a greater proportion of software revenue in product sales, which is more profitable than hardware revenue; ii) lower expenses in our DSL service assurance engineering organization; and iii) lower CEO related expenses because our former CEO, who resigned on April 1, 2011, was replaced with existing members of senior management.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assurance modules. Software products consist of software products, including maintenance contracts, for biometrics, medical imaging, and DSL service assurance applications.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 sales were $4.0 million in three month periods ended June 30, 2011 and June 30, 2012. As a percentage of total revenue, product sales increased from 68% in the second quarter of 2011 to 75% in the current year quarter. Unchanged product sales were primarily due to a $0.4 million increase in revenue from the sale of biometrics and imaging software, which was offset by a $0.3 million decrease in revenue from the sale of DSL service assurance hardware and a $0.1 million decrease in revenue from the sale of DSL service assurance software.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Product sales decreased 5% from $9.1 million in the six months ended June 30, 2011 to $8.6 million in the same six month period in 2012. As a percentage of total revenue, product sales increased from 74% in the first six months of 2011 to 77% in the corresponding period of 2012. The dollar decrease in product sales was primarily due to a $1.3 million decrease in revenue from the sale of DSL service assurance hardware and a $0.6 million decrease in revenue from the sale of DSL service assurance software. The decrease in revenue from the sale of DSL service assurance hardware and software was partially offset by a $1.4 million increase in revenue from the sale of biometrics and imaging software.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revenue from the sale of biometrics and imaging software in the three and six month periods ended June 30, 2012 versus the corresponding periods in 2011 was primarily due to several larger-sized license transactions that were a result of our customers purchasing licenses for their customers’ biometrics projects.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Decreases in revenue from the sale of DSL service assurance hardware in the three and six month periods ended June 30, 2012 versus the corresponding periods in 2011 was primarily due to our Board of Director’s decision in January 2012 to shutdown this product line. Revenue attributable to the DSL service assurance hardware product line was $1.3 million and $1.6 million in the three months ended June 30, 2012 and 2011, respectively; and $2.1 million and $3.4 million in the six months ended June 30, 2012 and 2011, respectively. We will continue to build and ship DSL service assurance hardware products until we fulfill last time buy customer orders. We currently anticipate that we will conclude DSL hardware shipments during the third quarter of 2012. We expect that revenue from the sale of DSL service assurance hardware products will be insignificant after the quarter ended September 30, 2012.</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Decreases in revenue from the sale of DSL service assurance software in the three and six month periods ended June 30, 2012 were primarily due to a larger sale of our LDP software in 2011 from which we recognized revenue in the three and six month periods of 2011. There was no revenue recognized from LDP sales of this magnitude in the three and six month periods of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primarily consist of engineering service fees related to: i) our biometrics and imaging product line; ii) our DSL service assurance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and iii) a legacy DSL silicon contract.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Services decreased 50% from $1.4 million in the three months ended June 30, 2011 to $0.7 million in the same three month period in 2012. As a percentage of total revenue, services decreased from 23% in the second quarter of 2011 to 13%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decreased 38% from $2.2 million in the first six months of 2011 to $1.4 million in the same six month period in 2012. As a percentage of total revenue, services decreased from 18% in the first six months of 2011 to 12% in the corresponding period of 2012.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the dollar decrease in services was primarily due to decreases in revenue from the sale of biometrics engineering services. While we are attempting to grow our biometrics services business, we were engaged in fewer larger projects in the first half of 2012 compared to the first half of 2011. Notwithstanding our intentions to grow this business, we are unable to predict whether services revenue will trend upward or downward in future periods as we continue to develop this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Royalties increased 15% from $541,000 in the three months ended June 30, 2011 to $625,000 in the same three month period in 2012. As a percentage of total revenue, royalties increased from 9% in the second quarter of 2011 to 12%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increased 12% from $1.0 million in the first six months of 2011 to $1.1 million in the same six month period in 2012. As a percentage of total revenue, royalties increased from 8% in the first six months of 2011 to 10% in the corresponding period of 2012.</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 periods, the dollar increase in royalties was primarily due to higher DSL royalties reported to us by one of our licensees, which was partially offset by lower royalties from our other licensee.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royalty revenue currently comes predominantly from DSL chipset sales by Ikanos Communications, Inc. (“Ikanos”) and Lantiq Deutschland GmbH (“Lantiq”). The sale of our DSL silicon IP assets in November 2009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product sales decreased 24% from $1.1 million in the three months ended June 30, 2011 to $0.8 million in the same three month period in 2012. As a percentage of product sales, cost of product sales decreased from 27% in the second quarter of 2011 to 20% in the current year quarter, which means that product gross margins increased from 73% to 80%.</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product sales decreased 44% from $2.3 in the six months ended June 30, 2011 to $1.3 million in the same six month period in 2012. As a percentage of product sales, cost of product sales decreased from 25% in the first six months of 2011 to 15% in the corresponding period of 2012, which means that product gross margins increased from 75% to 85%.</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the decrease in cost of product sales was primarily due to lower revenue from DSL service assurance hardware products as a result of our decision to shut down the DSL service assurance hardware product line in January 2012. The increase in product gross margins in the three and six month periods is primarily due to a higher proportion of software revenue in the product sales mix.</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consists of engineering costs to complete customer engineering projects. Such costs primarily include: i)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salaries, stock-based compensation, fringe benefits, and facilities; and ii) engineering consultants and contractors.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20% from $450,000 in the three months ended June 30, 2011 to $361,000 in the same three month period in 2012. Cost of services as a percentage of services increased from 33% in the second quarter of 2011 to 53% in the current quarter, which means that gross margins on services decreased from 67% to 47%.</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decreased 11% from $807,000 in the six months ended June 30, 2011 to $717,000 in the same six month period of 2012. Cost of services as a percentage of services increased from 37% in the first six months of 2011 to 52% in the corresponding period of 2012, which means that gross margins on services decreased from 63% to 48%.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312" w:lineRule="auto"/>
        <w:rPr>
          <w:sz w:val="20"/>
          <w:szCs w:val="20"/>
          <w:color w:val="auto"/>
        </w:rPr>
      </w:pPr>
      <w:r>
        <w:rPr>
          <w:rFonts w:ascii="Arial" w:cs="Arial" w:eastAsia="Arial" w:hAnsi="Arial"/>
          <w:sz w:val="16"/>
          <w:szCs w:val="16"/>
          <w:color w:val="auto"/>
        </w:rPr>
        <w:t>For the three and six month periods, the dollar decrease in cost of services was primarily due to a decrease in biometrics engineering services as described in the Services section above. The decrease in gross margins on services was primarily due to the mix of engineering service projects. The profitability of service revenue is affected by the size and profitability of individual customer projects that comprise service revenue in any particular quarter.</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technology, products and patents related to our various product lines are classified as research and development expense. As described in the cost of services section, engineering costs incurred to provide engineering services for customer projects are classified as cost of services, and are not included in research and development expense.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classification of total engineering costs to research and development expense and cost of services was (in 000s):</w:t>
      </w:r>
    </w:p>
    <w:p>
      <w:pPr>
        <w:spacing w:after="0" w:line="24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5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3,406</w:t>
            </w:r>
          </w:p>
        </w:tc>
        <w:tc>
          <w:tcPr>
            <w:tcW w:w="42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3,770</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807</w:t>
            </w:r>
          </w:p>
        </w:tc>
      </w:tr>
      <w:tr>
        <w:trPr>
          <w:trHeight w:val="216"/>
        </w:trPr>
        <w:tc>
          <w:tcPr>
            <w:tcW w:w="5980" w:type="dxa"/>
            <w:vAlign w:val="bottom"/>
          </w:tcPr>
          <w:p>
            <w:pPr>
              <w:ind w:left="120"/>
              <w:spacing w:after="0"/>
              <w:rPr>
                <w:sz w:val="20"/>
                <w:szCs w:val="20"/>
                <w:color w:val="auto"/>
              </w:rPr>
            </w:pPr>
            <w:r>
              <w:rPr>
                <w:rFonts w:ascii="Arial" w:cs="Arial" w:eastAsia="Arial" w:hAnsi="Arial"/>
                <w:sz w:val="18"/>
                <w:szCs w:val="18"/>
                <w:color w:val="auto"/>
              </w:rPr>
              <w:t>Total engineering costs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4,577</w:t>
            </w:r>
          </w:p>
        </w:tc>
      </w:tr>
      <w:tr>
        <w:trPr>
          <w:trHeight w:val="21"/>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Research and development expense decreased 9% from $1.8 million in the three months ended June 30, 2011 to $1.7 million in the same three month period in 2012. As a percentage of total revenue, research and development expense was 31% in the second quarter of 2011 and 2012.</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 decreased 10% from $3.8 million in the six months ended June 30, 2011 to $3.4 million in the same six month period in 2012. As a percentage of total revenue, research and development expense was 31% in the first six months of 2011 and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and six month periods, the dollar decrease in research and development expense was primarily due to lower spending in our DSL service assurance engineering organization, which was partially offset by: i) higher spending in our biometrics and imaging engineering organization; and ii) less engineering costs classified as cost of services as set forth in the table immediately above.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Lower spending in our DSL service assurance engineering organization was driven by headcount attrition in the latter half of 2011 and our decision to exit the DSL hardware business in January 2012. Higher spending in our biometrics and imaging engineering organization was the result of headcount additions to support current projects and expected future projects. Less engineering costs were classified to cost of services because of a decrease in biometrics engineering services revenue.</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Our research and development activities are focused primarily on developing biometrics and imaging software, and DSL service assurance software.</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Sales and marketing expense decreased 1% from $1.1 million for the three months ended June 30, 2011 to $1.0 million for the same three month period in 2012. As a percentage of total revenue, sales and marketing expense increased from 18% in the second quarter of 2011 to 19% in the corresponding period of 2012.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Sales and marketing expense increased 3% from $2.1 million for the six months ended June 30, 2011 to $2.2 million for the same six month period in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total revenue, sales and marketing expense increased from 17% in the first six months of 2011 to 20% in the corresponding period of 2012.</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 periods, essentially unchanged sales and marketing expense reflected: 1) a stable sales and marketing organization; and 2) consistent levels of promotional activities. The decision to exit the DSL hardware business did not have a material impact on selling and marketing expense in the three and six month periods because the one employee involved in DSL hardware sales remained with the company as a member of the biometrics and imaging sales organization.</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40% from $1.8 million in the three months ended June 30, 2011 to $1.1 million in the same three month period in 2012. As a percentage of total revenue, general and administrative expense decreased from 30% in the second quarter of 2011 to 20% in the current year quarter.</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decreased 31% from $3.0 million in the six months ended June 30, 2011 to $2.1 million in the same six month period in 2012. As a percentage of total revenue, general and administrative expense decreased from 24% in the first six months of 2011 to 18% in the corresponding period of 2012.</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and six month periods, the dollar decrease in general and administrative expense was primarily due to the resignation of our former CEO on April 1, 2011. His position was filled by existing members of senior management, which obviated the need to compensate a replacement CEO. In addition, the three and six months ended June 30, 2011 included $0.6 million of severance related expenses for our former CEO.</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Gain on Sale of Patent Assets. </w:t>
      </w:r>
      <w:r>
        <w:rPr>
          <w:rFonts w:ascii="Arial" w:cs="Arial" w:eastAsia="Arial" w:hAnsi="Arial"/>
          <w:sz w:val="18"/>
          <w:szCs w:val="18"/>
          <w:color w:val="auto"/>
        </w:rPr>
        <w:t>In the three months ended June 30, 2012, we recorded a $71.2 million net gain from the sale of patents pertaining to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Gross sale proceeds of $75 million were reduced by $3.8 million of transaction costs which consisted primarily of fees from the law firm that assisted us with the sale.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to pursue patent monetization alternatives for certain other patents remaining in our patent portfolio. We are unable to predict the size or the timing of any future potential transactions involving such patents or whether such transactions will be completed.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We recorded $58,000 and $85,000 of other income in the three and six month periods ended June 30, 2012, respectively.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realized gains on the sale of high yield bond investments in both periods.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156% from $16,000 in three months ended June 30, 2011 to $40,000 in the same three month period in 2012.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increased 161% from $35,000 in the six months ended June 30, 2011 to $92,000 in the same six month period in 2012.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spacing w:after="0" w:line="342" w:lineRule="auto"/>
        <w:rPr>
          <w:sz w:val="20"/>
          <w:szCs w:val="20"/>
          <w:color w:val="auto"/>
        </w:rPr>
      </w:pPr>
      <w:r>
        <w:rPr>
          <w:rFonts w:ascii="Arial" w:cs="Arial" w:eastAsia="Arial" w:hAnsi="Arial"/>
          <w:sz w:val="16"/>
          <w:szCs w:val="16"/>
          <w:color w:val="auto"/>
        </w:rPr>
        <w:t>For the three and six month periods, the dollar increase was primarily due to interest we received from high yield bonds we purchased in the fourth quarter of 2011. We sold a portion of these bonds in late March 2012 and the remaining portion in late June 2012. At June 30, 2012, we held no high yield bonds.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gain on sale of patent assets was primarily responsible for producing $72.9 million of income before taxes in the six month period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2012. We used a significant portion our deferred tax assets available as of June 30, 2012 to reduce income taxes on year-to-date pre-tax earnings. Consequently, we recorded a $4.1 million income tax liability as of June 30, 2012, which consisted of $3.1 million of federal income taxes and $1.0 million of state income taxes.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the deferred tax assets we utilized comprised cumulative deductions for stock options in excess of book expense. Under income tax accounting rules, that portion of tax benefits attributable to such deductions must be recorded as an adjustment to equity versus a reduction of income tax expense. In the six months ended June 30, 2012, the tax benefits from such stock-based awards were $12.7 million, which we recorded as an equity adjustment to additional paid-in capital. After the equity adjustment, we recorded $16.8 million of income tax expense in the statement of comprehensive income during the three months ended June 30, 2012. The $16.8 million income tax expense consists of the $4.1 million current income tax liability plus the $12.7 million non-cash adjustment that was recorded to equity.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continue to record a full valuation allowance against our remaining deferred tax assets because based on all the available evidence, we continue to believe that it is more likely than not that our deferred tax assets are not currently realizable. In reaching this determination, we evaluated our three-year cumulative results as well as the impact that current economic conditions may have on our future results.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continue to assess the level of valuation allowance required in future periods. Should more positive than negative evidence regarding the realizability of tax assets exist at a future point in time, the valuation allowance may be reduced or eliminated altogether.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June 30, 2012, we had cash and cash equivalents of $101.1 million, which represented an increase of $54.5 million from December 31, 2011. The increase in cash was primarily due to: i) $71.2 million of net proceeds from the sale of patent assets; ii) $2.2 million of cash provided by operations; iii) $5.8 million of proceeds from the issuance of common stock as a result of stock option exercises; and iv) $0.9 million from the sale of investments. Increases in cash from these sources were partially offset by: i) a $25.5 million special dividend payment; ii) $59,000 of cash used to purchase capital equipment; and iii) $36,000 of cash used to pay withholding taxes for employees who surrendered shares of common stock in connection with stock issuances.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Capital spending was primarily related to the purchase of computer hardware used principally in engineering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six months ended June 30, 2012, we issued stock in connection with officer and employee stock grants. We allowed grantees to surrender a portion of their shares of stock in return for the Company paying their related withholding taxes. As a result of this provision, grantees surrendered 12,153 shares of common stock, and we paid approximately $36,000 of withholding taxes on their behalf.</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at June 30, 2012 consisted of:</w:t>
      </w:r>
    </w:p>
    <w:p>
      <w:pPr>
        <w:spacing w:after="0" w:line="197" w:lineRule="exact"/>
        <w:rPr>
          <w:sz w:val="20"/>
          <w:szCs w:val="20"/>
          <w:color w:val="auto"/>
        </w:rPr>
      </w:pPr>
    </w:p>
    <w:p>
      <w:pPr>
        <w:jc w:val="both"/>
        <w:ind w:left="340" w:hanging="332"/>
        <w:spacing w:after="0" w:line="264" w:lineRule="auto"/>
        <w:tabs>
          <w:tab w:leader="none" w:pos="3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June 30, 2012, our cash and cash equivalents of $101.1 million were primarily invested in money market funds. The</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were invested in high quality, short term financial instruments. Due to the nature, short duration, and professional management of these funds, we do not expect that a general increase in interest rates would result in any material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financial instruments for speculative or trading purposes.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2011,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2.1*</w:t>
      </w:r>
      <w:r>
        <w:rPr>
          <w:sz w:val="20"/>
          <w:szCs w:val="20"/>
          <w:color w:val="auto"/>
        </w:rPr>
        <w:tab/>
      </w:r>
      <w:r>
        <w:rPr>
          <w:rFonts w:ascii="Arial" w:cs="Arial" w:eastAsia="Arial" w:hAnsi="Arial"/>
          <w:sz w:val="16"/>
          <w:szCs w:val="16"/>
          <w:color w:val="auto"/>
        </w:rPr>
        <w:t>Wireless Portfolio Patent Purchase Agreement, dated as of April 26, 2012, by and between Aware, Inc. and Intel Corporation.</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jc w:val="both"/>
        <w:ind w:left="2040" w:right="2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52" w:lineRule="exact"/>
        <w:rPr>
          <w:sz w:val="20"/>
          <w:szCs w:val="20"/>
          <w:color w:val="auto"/>
        </w:rPr>
      </w:pPr>
    </w:p>
    <w:p>
      <w:pPr>
        <w:jc w:val="both"/>
        <w:ind w:left="2040" w:hanging="1458"/>
        <w:spacing w:after="0" w:line="257" w:lineRule="auto"/>
        <w:tabs>
          <w:tab w:leader="none" w:pos="2020" w:val="left"/>
        </w:tabs>
        <w:rPr>
          <w:sz w:val="20"/>
          <w:szCs w:val="20"/>
          <w:color w:val="auto"/>
        </w:rPr>
      </w:pPr>
      <w:r>
        <w:rPr>
          <w:rFonts w:ascii="Arial" w:cs="Arial" w:eastAsia="Arial" w:hAnsi="Arial"/>
          <w:sz w:val="18"/>
          <w:szCs w:val="18"/>
          <w:color w:val="auto"/>
        </w:rPr>
        <w:t>Exhibit 101**</w:t>
      </w:r>
      <w:r>
        <w:rPr>
          <w:sz w:val="20"/>
          <w:szCs w:val="20"/>
          <w:color w:val="auto"/>
        </w:rPr>
        <w:tab/>
      </w:r>
      <w:r>
        <w:rPr>
          <w:rFonts w:ascii="Arial" w:cs="Arial" w:eastAsia="Arial" w:hAnsi="Arial"/>
          <w:sz w:val="18"/>
          <w:szCs w:val="18"/>
          <w:color w:val="auto"/>
        </w:rPr>
        <w:t>The following financial statements from Aware, Inc.’s Quarterly Report on Form 10-Q for the quarter ended June 30, 2012, formatted in XBRL (eXtensible Business Reporting Language), as follows: (i) Consolidated Balance Sheets as of June 30, 2012 and December 31, 2011, (ii) Consolidated Statements of Comprehensive Income for the Three and Six Months Ended June 30, 2012 and June 30, 2011, (iii) Consolidated Statements of Cash Flows for the Six Months Ended June 30, 2012 and June 30, 2011, and (iv) Notes to Consolidated Financial Statements.</w:t>
      </w:r>
    </w:p>
    <w:p>
      <w:pPr>
        <w:spacing w:after="0" w:line="215" w:lineRule="exact"/>
        <w:rPr>
          <w:sz w:val="20"/>
          <w:szCs w:val="20"/>
          <w:color w:val="auto"/>
        </w:rPr>
      </w:pPr>
    </w:p>
    <w:p>
      <w:pPr>
        <w:ind w:firstLine="8"/>
        <w:spacing w:after="0" w:line="277" w:lineRule="auto"/>
        <w:tabs>
          <w:tab w:leader="none" w:pos="154" w:val="left"/>
        </w:tabs>
        <w:numPr>
          <w:ilvl w:val="0"/>
          <w:numId w:val="9"/>
        </w:numPr>
        <w:rPr>
          <w:rFonts w:ascii="Arial" w:cs="Arial" w:eastAsia="Arial" w:hAnsi="Arial"/>
          <w:sz w:val="18"/>
          <w:szCs w:val="18"/>
          <w:color w:val="auto"/>
        </w:rPr>
      </w:pPr>
      <w:r>
        <w:rPr>
          <w:rFonts w:ascii="Arial" w:cs="Arial" w:eastAsia="Arial" w:hAnsi="Arial"/>
          <w:sz w:val="18"/>
          <w:szCs w:val="18"/>
          <w:color w:val="auto"/>
        </w:rPr>
        <w:t>Portions of this exhibit are omitted and were filed separately with the Securities and Exchange Commission pursuant to Aware’s application requesting confidential treatment under Rule 24b-2 of the Securities Exchange Act of 1934, as amended.</w:t>
      </w:r>
    </w:p>
    <w:p>
      <w:pPr>
        <w:spacing w:after="0" w:line="197" w:lineRule="exact"/>
        <w:rPr>
          <w:sz w:val="20"/>
          <w:szCs w:val="20"/>
          <w:color w:val="auto"/>
        </w:rPr>
      </w:pPr>
    </w:p>
    <w:p>
      <w:pPr>
        <w:jc w:val="both"/>
        <w:ind w:firstLine="8"/>
        <w:spacing w:after="0" w:line="264" w:lineRule="auto"/>
        <w:tabs>
          <w:tab w:leader="none" w:pos="2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shall not be deemed filed for purposes of Sections 11 or 12 of the Securities Act of 1933, as amended, or Section 18 of the Securities Exchange Act of 1934, as amended, or otherwise subject to liability under those 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147066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7"/>
          <w:szCs w:val="17"/>
          <w:color w:val="auto"/>
        </w:rPr>
        <w:t>By: /s/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General Counsel</w:t>
      </w:r>
    </w:p>
    <w:p>
      <w:pPr>
        <w:spacing w:after="0" w:line="238"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Date: August 2, 2012</w:t>
      </w:r>
      <w:r>
        <w:rPr>
          <w:sz w:val="20"/>
          <w:szCs w:val="20"/>
          <w:color w:val="auto"/>
        </w:rPr>
        <w:tab/>
      </w:r>
      <w:r>
        <w:rPr>
          <w:rFonts w:ascii="Arial" w:cs="Arial" w:eastAsia="Arial" w:hAnsi="Arial"/>
          <w:sz w:val="16"/>
          <w:szCs w:val="16"/>
          <w:color w:val="auto"/>
        </w:rPr>
        <w:t>By: /s/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1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2, 2012</w:t>
      </w:r>
      <w:r>
        <w:rPr>
          <w:sz w:val="20"/>
          <w:szCs w:val="20"/>
          <w:color w:val="auto"/>
        </w:rPr>
        <w:tab/>
      </w:r>
      <w:r>
        <w:rPr>
          <w:rFonts w:ascii="Arial" w:cs="Arial" w:eastAsia="Arial" w:hAnsi="Arial"/>
          <w:sz w:val="16"/>
          <w:szCs w:val="16"/>
          <w:color w:val="auto"/>
        </w:rPr>
        <w:t>/s/ 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ectPr>
          <w:pgSz w:w="11900" w:h="16838" w:orient="portrait"/>
          <w:cols w:equalWidth="0" w:num="1">
            <w:col w:w="11420"/>
          </w:cols>
          <w:pgMar w:left="240" w:top="24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August 2, 2012</w:t>
      </w:r>
      <w:r>
        <w:rPr>
          <w:sz w:val="20"/>
          <w:szCs w:val="20"/>
          <w:color w:val="auto"/>
        </w:rPr>
        <w:tab/>
      </w:r>
      <w:r>
        <w:rPr>
          <w:rFonts w:ascii="Arial" w:cs="Arial" w:eastAsia="Arial" w:hAnsi="Arial"/>
          <w:sz w:val="16"/>
          <w:szCs w:val="16"/>
          <w:color w:val="auto"/>
        </w:rPr>
        <w:t>/s/ 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June 30, 2012,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/s/  Kevin T. Russell</w:t>
            </w: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/s/  Richard P. Moberg</w:t>
            </w:r>
          </w:p>
        </w:tc>
      </w:tr>
      <w:tr>
        <w:trPr>
          <w:trHeight w:val="202"/>
        </w:trPr>
        <w:tc>
          <w:tcPr>
            <w:tcW w:w="4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c>
          <w:tcPr>
            <w:tcW w:w="208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4000" w:type="dxa"/>
            <w:vAlign w:val="bottom"/>
          </w:tcPr>
          <w:p>
            <w:pPr>
              <w:spacing w:after="0"/>
              <w:rPr>
                <w:sz w:val="20"/>
                <w:szCs w:val="20"/>
                <w:color w:val="auto"/>
              </w:rPr>
            </w:pPr>
          </w:p>
        </w:tc>
        <w:tc>
          <w:tcPr>
            <w:tcW w:w="6060" w:type="dxa"/>
            <w:vAlign w:val="bottom"/>
            <w:gridSpan w:val="2"/>
          </w:tcPr>
          <w:p>
            <w:pPr>
              <w:ind w:left="2080"/>
              <w:spacing w:after="0"/>
              <w:rPr>
                <w:sz w:val="20"/>
                <w:szCs w:val="20"/>
                <w:color w:val="auto"/>
              </w:rPr>
            </w:pPr>
            <w:r>
              <w:rPr>
                <w:rFonts w:ascii="Arial" w:cs="Arial" w:eastAsia="Arial" w:hAnsi="Arial"/>
                <w:sz w:val="18"/>
                <w:szCs w:val="18"/>
                <w:color w:val="auto"/>
              </w:rPr>
              <w:t>Chief Financial Officer</w:t>
            </w: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Date: August 2, 2012</w:t>
            </w:r>
          </w:p>
        </w:tc>
        <w:tc>
          <w:tcPr>
            <w:tcW w:w="6060" w:type="dxa"/>
            <w:vAlign w:val="bottom"/>
            <w:gridSpan w:val="2"/>
          </w:tcPr>
          <w:p>
            <w:pPr>
              <w:ind w:left="1380"/>
              <w:spacing w:after="0"/>
              <w:rPr>
                <w:sz w:val="20"/>
                <w:szCs w:val="20"/>
                <w:color w:val="auto"/>
              </w:rPr>
            </w:pPr>
            <w:r>
              <w:rPr>
                <w:rFonts w:ascii="Arial" w:cs="Arial" w:eastAsia="Arial" w:hAnsi="Arial"/>
                <w:sz w:val="18"/>
                <w:szCs w:val="18"/>
                <w:color w:val="auto"/>
              </w:rPr>
              <w:t>Date: August 2, 2012</w:t>
            </w: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1"/>
    </w:lvl>
  </w:abstractNum>
  <w:abstractNum w:abstractNumId="1">
    <w:nsid w:val="79E2A9E3"/>
    <w:multiLevelType w:val="hybridMultilevel"/>
    <w:lvl w:ilvl="0">
      <w:lvlJc w:val="left"/>
      <w:lvlText w:val="%1)"/>
      <w:numFmt w:val="upperLetter"/>
      <w:start w:val="4"/>
    </w:lvl>
  </w:abstractNum>
  <w:abstractNum w:abstractNumId="2">
    <w:nsid w:val="7545E146"/>
    <w:multiLevelType w:val="hybridMultilevel"/>
    <w:lvl w:ilvl="0">
      <w:lvlJc w:val="left"/>
      <w:lvlText w:val="%1)"/>
      <w:numFmt w:val="upperLetter"/>
      <w:start w:val="5"/>
    </w:lvl>
  </w:abstractNum>
  <w:abstractNum w:abstractNumId="3">
    <w:nsid w:val="515F007C"/>
    <w:multiLevelType w:val="hybridMultilevel"/>
    <w:lvl w:ilvl="0">
      <w:lvlJc w:val="left"/>
      <w:lvlText w:val="●"/>
      <w:numFmt w:val="bullet"/>
      <w:start w:val="1"/>
    </w:lvl>
    <w:lvl w:ilvl="1">
      <w:lvlJc w:val="left"/>
      <w:lvlText w:val="●"/>
      <w:numFmt w:val="bullet"/>
      <w:start w:val="1"/>
    </w:lvl>
  </w:abstractNum>
  <w:abstractNum w:abstractNumId="4">
    <w:nsid w:val="5BD062C2"/>
    <w:multiLevelType w:val="hybridMultilevel"/>
    <w:lvl w:ilvl="0">
      <w:lvlJc w:val="left"/>
      <w:lvlText w:val="%1)"/>
      <w:numFmt w:val="upperLetter"/>
      <w:start w:val="6"/>
    </w:lvl>
  </w:abstractNum>
  <w:abstractNum w:abstractNumId="5">
    <w:nsid w:val="12200854"/>
    <w:multiLevelType w:val="hybridMultilevel"/>
    <w:lvl w:ilvl="0">
      <w:lvlJc w:val="left"/>
      <w:lvlText w:val="%1)"/>
      <w:numFmt w:val="upperLetter"/>
      <w:start w:val="8"/>
    </w:lvl>
  </w:abstractNum>
  <w:abstractNum w:abstractNumId="6">
    <w:nsid w:val="4DB127F8"/>
    <w:multiLevelType w:val="hybridMultilevel"/>
    <w:lvl w:ilvl="0">
      <w:lvlJc w:val="left"/>
      <w:lvlText w:val="%1)"/>
      <w:numFmt w:val="upperLetter"/>
      <w:start w:val="10"/>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2019-12-09T12:02:55Z</dcterms:created>
  <dcterms:modified xsi:type="dcterms:W3CDTF">2019-12-09T12:02:55Z</dcterms:modified>
</cp:coreProperties>
</file>