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ind w:left="520" w:right="5060" w:hanging="482"/>
        <w:spacing w:after="0" w:line="365"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 For the quarterly period ended June 30, 2023</w:t>
      </w:r>
    </w:p>
    <w:p>
      <w:pPr>
        <w:jc w:val="center"/>
        <w:spacing w:after="0"/>
        <w:rPr>
          <w:sz w:val="20"/>
          <w:szCs w:val="20"/>
          <w:color w:val="auto"/>
        </w:rPr>
      </w:pPr>
      <w:r>
        <w:rPr>
          <w:rFonts w:ascii="Arial" w:cs="Arial" w:eastAsia="Arial" w:hAnsi="Arial"/>
          <w:sz w:val="16"/>
          <w:szCs w:val="16"/>
          <w:color w:val="auto"/>
        </w:rPr>
        <w:t>OR</w:t>
      </w:r>
    </w:p>
    <w:p>
      <w:pPr>
        <w:spacing w:after="0" w:line="200" w:lineRule="exact"/>
        <w:rPr>
          <w:sz w:val="24"/>
          <w:szCs w:val="24"/>
          <w:color w:val="auto"/>
        </w:rPr>
      </w:pPr>
    </w:p>
    <w:p>
      <w:pPr>
        <w:spacing w:after="0" w:line="210" w:lineRule="exact"/>
        <w:rPr>
          <w:sz w:val="24"/>
          <w:szCs w:val="24"/>
          <w:color w:val="auto"/>
        </w:rPr>
      </w:pPr>
    </w:p>
    <w:p>
      <w:pPr>
        <w:ind w:left="520" w:right="4880" w:hanging="482"/>
        <w:spacing w:after="0" w:line="304" w:lineRule="auto"/>
        <w:tabs>
          <w:tab w:leader="none" w:pos="576"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Commission file number 000-21129</w:t>
            </w: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jc w:val="center"/>
              <w:ind w:right="948"/>
              <w:spacing w:after="0"/>
              <w:rPr>
                <w:sz w:val="20"/>
                <w:szCs w:val="20"/>
                <w:color w:val="auto"/>
              </w:rPr>
            </w:pPr>
            <w:r>
              <w:rPr>
                <w:rFonts w:ascii="Arial" w:cs="Arial" w:eastAsia="Arial" w:hAnsi="Arial"/>
                <w:sz w:val="32"/>
                <w:szCs w:val="32"/>
                <w:b w:val="1"/>
                <w:bCs w:val="1"/>
                <w:color w:val="auto"/>
                <w:w w:val="98"/>
              </w:rPr>
              <w:t>AWARE, INC.</w:t>
            </w: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20" w:type="dxa"/>
            <w:vAlign w:val="bottom"/>
            <w:gridSpan w:val="3"/>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3460" w:type="dxa"/>
            <w:vAlign w:val="bottom"/>
          </w:tcPr>
          <w:p>
            <w:pPr>
              <w:spacing w:after="0"/>
              <w:rPr>
                <w:sz w:val="2"/>
                <w:szCs w:val="2"/>
                <w:color w:val="auto"/>
              </w:rPr>
            </w:pPr>
          </w:p>
        </w:tc>
      </w:tr>
      <w:tr>
        <w:trPr>
          <w:trHeight w:val="243"/>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c>
          <w:tcPr>
            <w:tcW w:w="14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358"/>
        </w:trPr>
        <w:tc>
          <w:tcPr>
            <w:tcW w:w="3620" w:type="dxa"/>
            <w:vAlign w:val="bottom"/>
            <w:tcBorders>
              <w:bottom w:val="single" w:sz="8" w:color="auto"/>
            </w:tcBorders>
            <w:gridSpan w:val="2"/>
          </w:tcPr>
          <w:p>
            <w:pPr>
              <w:jc w:val="center"/>
              <w:ind w:left="1801"/>
              <w:spacing w:after="0"/>
              <w:rPr>
                <w:sz w:val="20"/>
                <w:szCs w:val="20"/>
                <w:color w:val="auto"/>
              </w:rPr>
            </w:pPr>
            <w:r>
              <w:rPr>
                <w:rFonts w:ascii="Arial" w:cs="Arial" w:eastAsia="Arial" w:hAnsi="Arial"/>
                <w:sz w:val="18"/>
                <w:szCs w:val="18"/>
                <w:b w:val="1"/>
                <w:bCs w:val="1"/>
                <w:color w:val="auto"/>
                <w:w w:val="85"/>
              </w:rPr>
              <w:t>Massachusetts</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239"/>
              <w:spacing w:after="0"/>
              <w:rPr>
                <w:sz w:val="20"/>
                <w:szCs w:val="20"/>
                <w:color w:val="auto"/>
              </w:rPr>
            </w:pPr>
            <w:r>
              <w:rPr>
                <w:rFonts w:ascii="Arial" w:cs="Arial" w:eastAsia="Arial" w:hAnsi="Arial"/>
                <w:sz w:val="18"/>
                <w:szCs w:val="18"/>
                <w:b w:val="1"/>
                <w:bCs w:val="1"/>
                <w:color w:val="auto"/>
              </w:rPr>
              <w:t>04-2911026</w:t>
            </w:r>
          </w:p>
        </w:tc>
      </w:tr>
      <w:tr>
        <w:trPr>
          <w:trHeight w:val="238"/>
        </w:trPr>
        <w:tc>
          <w:tcPr>
            <w:tcW w:w="3620" w:type="dxa"/>
            <w:vAlign w:val="bottom"/>
            <w:gridSpan w:val="2"/>
          </w:tcPr>
          <w:p>
            <w:pPr>
              <w:jc w:val="center"/>
              <w:ind w:left="1821"/>
              <w:spacing w:after="0"/>
              <w:rPr>
                <w:sz w:val="20"/>
                <w:szCs w:val="20"/>
                <w:color w:val="auto"/>
              </w:rPr>
            </w:pPr>
            <w:r>
              <w:rPr>
                <w:rFonts w:ascii="Arial" w:cs="Arial" w:eastAsia="Arial" w:hAnsi="Arial"/>
                <w:sz w:val="14"/>
                <w:szCs w:val="14"/>
                <w:color w:val="auto"/>
                <w:w w:val="94"/>
              </w:rPr>
              <w:t>(State or Other Jurisdiction of</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360" w:type="dxa"/>
            <w:vAlign w:val="bottom"/>
            <w:gridSpan w:val="3"/>
          </w:tcPr>
          <w:p>
            <w:pPr>
              <w:jc w:val="center"/>
              <w:ind w:right="1059"/>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7640" w:type="dxa"/>
            <w:vAlign w:val="bottom"/>
            <w:gridSpan w:val="13"/>
          </w:tcPr>
          <w:p>
            <w:pPr>
              <w:jc w:val="center"/>
              <w:ind w:right="2068"/>
              <w:spacing w:after="0"/>
              <w:rPr>
                <w:sz w:val="20"/>
                <w:szCs w:val="20"/>
                <w:color w:val="auto"/>
              </w:rPr>
            </w:pPr>
            <w:r>
              <w:rPr>
                <w:rFonts w:ascii="Arial" w:cs="Arial" w:eastAsia="Arial" w:hAnsi="Arial"/>
                <w:sz w:val="14"/>
                <w:szCs w:val="14"/>
                <w:color w:val="auto"/>
                <w:w w:val="95"/>
              </w:rPr>
              <w:t>Incorporation or Organization)</w:t>
            </w:r>
          </w:p>
        </w:tc>
        <w:tc>
          <w:tcPr>
            <w:tcW w:w="14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579"/>
        </w:trPr>
        <w:tc>
          <w:tcPr>
            <w:tcW w:w="1124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0"/>
              </w:rPr>
              <w:t>76 Blanchard Road in Burlington, Massachusetts, 01803</w:t>
            </w:r>
          </w:p>
        </w:tc>
      </w:tr>
      <w:tr>
        <w:trPr>
          <w:trHeight w:val="150"/>
        </w:trPr>
        <w:tc>
          <w:tcPr>
            <w:tcW w:w="3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10"/>
          </w:tcPr>
          <w:p>
            <w:pPr>
              <w:jc w:val="center"/>
              <w:ind w:right="668"/>
              <w:spacing w:after="0" w:line="151" w:lineRule="exact"/>
              <w:rPr>
                <w:sz w:val="20"/>
                <w:szCs w:val="20"/>
                <w:color w:val="auto"/>
              </w:rPr>
            </w:pPr>
            <w:r>
              <w:rPr>
                <w:rFonts w:ascii="Arial" w:cs="Arial" w:eastAsia="Arial" w:hAnsi="Arial"/>
                <w:sz w:val="14"/>
                <w:szCs w:val="14"/>
                <w:color w:val="auto"/>
                <w:w w:val="95"/>
              </w:rPr>
              <w:t>(Address of Principal Executive Offices)</w:t>
            </w:r>
          </w:p>
        </w:tc>
        <w:tc>
          <w:tcPr>
            <w:tcW w:w="140" w:type="dxa"/>
            <w:vAlign w:val="bottom"/>
            <w:tcBorders>
              <w:top w:val="single" w:sz="8" w:color="auto"/>
            </w:tcBorders>
          </w:tcPr>
          <w:p>
            <w:pPr>
              <w:spacing w:after="0"/>
              <w:rPr>
                <w:sz w:val="13"/>
                <w:szCs w:val="13"/>
                <w:color w:val="auto"/>
              </w:rPr>
            </w:pPr>
          </w:p>
        </w:tc>
        <w:tc>
          <w:tcPr>
            <w:tcW w:w="3460" w:type="dxa"/>
            <w:vAlign w:val="bottom"/>
          </w:tcPr>
          <w:p>
            <w:pPr>
              <w:spacing w:after="0"/>
              <w:rPr>
                <w:sz w:val="13"/>
                <w:szCs w:val="13"/>
                <w:color w:val="auto"/>
              </w:rPr>
            </w:pPr>
          </w:p>
        </w:tc>
      </w:tr>
      <w:tr>
        <w:trPr>
          <w:trHeight w:val="182"/>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gridSpan w:val="7"/>
          </w:tcPr>
          <w:p>
            <w:pPr>
              <w:jc w:val="center"/>
              <w:ind w:right="1388"/>
              <w:spacing w:after="0"/>
              <w:rPr>
                <w:sz w:val="20"/>
                <w:szCs w:val="20"/>
                <w:color w:val="auto"/>
              </w:rPr>
            </w:pPr>
            <w:r>
              <w:rPr>
                <w:rFonts w:ascii="Arial" w:cs="Arial" w:eastAsia="Arial" w:hAnsi="Arial"/>
                <w:sz w:val="14"/>
                <w:szCs w:val="14"/>
                <w:color w:val="auto"/>
                <w:w w:val="96"/>
              </w:rPr>
              <w:t>(Zip Code)</w:t>
            </w:r>
          </w:p>
        </w:tc>
        <w:tc>
          <w:tcPr>
            <w:tcW w:w="14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242"/>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4"/>
          </w:tcPr>
          <w:p>
            <w:pPr>
              <w:spacing w:after="0"/>
              <w:rPr>
                <w:sz w:val="21"/>
                <w:szCs w:val="21"/>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(781) 276-4000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237"/>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77"/>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1"/>
          </w:tcPr>
          <w:p>
            <w:pPr>
              <w:jc w:val="center"/>
              <w:spacing w:after="0"/>
              <w:rPr>
                <w:sz w:val="20"/>
                <w:szCs w:val="20"/>
                <w:color w:val="auto"/>
              </w:rPr>
            </w:pPr>
            <w:r>
              <w:rPr>
                <w:rFonts w:ascii="Arial" w:cs="Arial" w:eastAsia="Arial" w:hAnsi="Arial"/>
                <w:sz w:val="16"/>
                <w:szCs w:val="16"/>
                <w:color w:val="auto"/>
                <w:w w:val="91"/>
              </w:rPr>
              <w:t>Securities registered pursuant to Section 12(b) of the Act:</w:t>
            </w: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71"/>
        </w:trPr>
        <w:tc>
          <w:tcPr>
            <w:tcW w:w="3620" w:type="dxa"/>
            <w:vAlign w:val="bottom"/>
            <w:tcBorders>
              <w:bottom w:val="single" w:sz="8" w:color="auto"/>
            </w:tcBorders>
            <w:gridSpan w:val="2"/>
          </w:tcPr>
          <w:p>
            <w:pPr>
              <w:jc w:val="center"/>
              <w:ind w:left="661"/>
              <w:spacing w:after="0"/>
              <w:rPr>
                <w:sz w:val="20"/>
                <w:szCs w:val="20"/>
                <w:color w:val="auto"/>
              </w:rPr>
            </w:pPr>
            <w:r>
              <w:rPr>
                <w:rFonts w:ascii="Arial" w:cs="Arial" w:eastAsia="Arial" w:hAnsi="Arial"/>
                <w:sz w:val="14"/>
                <w:szCs w:val="14"/>
                <w:b w:val="1"/>
                <w:bCs w:val="1"/>
                <w:color w:val="auto"/>
                <w:w w:val="93"/>
              </w:rPr>
              <w:t>Title of Each Class</w:t>
            </w: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w w:val="94"/>
              </w:rPr>
              <w:t>Trading Symbol</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659"/>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3"/>
        </w:trPr>
        <w:tc>
          <w:tcPr>
            <w:tcW w:w="3620" w:type="dxa"/>
            <w:vAlign w:val="bottom"/>
            <w:gridSpan w:val="2"/>
          </w:tcPr>
          <w:p>
            <w:pPr>
              <w:jc w:val="center"/>
              <w:ind w:left="661"/>
              <w:spacing w:after="0"/>
              <w:rPr>
                <w:sz w:val="20"/>
                <w:szCs w:val="20"/>
                <w:color w:val="auto"/>
              </w:rPr>
            </w:pPr>
            <w:r>
              <w:rPr>
                <w:rFonts w:ascii="Arial" w:cs="Arial" w:eastAsia="Arial" w:hAnsi="Arial"/>
                <w:sz w:val="16"/>
                <w:szCs w:val="16"/>
                <w:color w:val="auto"/>
                <w:w w:val="90"/>
              </w:rPr>
              <w:t>Common Stock, $0.01 par value per share</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gridSpan w:val="7"/>
          </w:tcPr>
          <w:p>
            <w:pPr>
              <w:jc w:val="center"/>
              <w:ind w:right="1368"/>
              <w:spacing w:after="0"/>
              <w:rPr>
                <w:sz w:val="20"/>
                <w:szCs w:val="20"/>
                <w:color w:val="auto"/>
              </w:rPr>
            </w:pPr>
            <w:r>
              <w:rPr>
                <w:rFonts w:ascii="Arial" w:cs="Arial" w:eastAsia="Arial" w:hAnsi="Arial"/>
                <w:sz w:val="16"/>
                <w:szCs w:val="16"/>
                <w:color w:val="auto"/>
                <w:w w:val="95"/>
              </w:rPr>
              <w:t>AWRE</w:t>
            </w:r>
          </w:p>
        </w:tc>
        <w:tc>
          <w:tcPr>
            <w:tcW w:w="140" w:type="dxa"/>
            <w:vAlign w:val="bottom"/>
          </w:tcPr>
          <w:p>
            <w:pPr>
              <w:spacing w:after="0"/>
              <w:rPr>
                <w:sz w:val="17"/>
                <w:szCs w:val="17"/>
                <w:color w:val="auto"/>
              </w:rPr>
            </w:pPr>
          </w:p>
        </w:tc>
        <w:tc>
          <w:tcPr>
            <w:tcW w:w="3460" w:type="dxa"/>
            <w:vAlign w:val="bottom"/>
          </w:tcPr>
          <w:p>
            <w:pPr>
              <w:jc w:val="center"/>
              <w:ind w:right="819"/>
              <w:spacing w:after="0"/>
              <w:rPr>
                <w:sz w:val="20"/>
                <w:szCs w:val="20"/>
                <w:color w:val="auto"/>
              </w:rPr>
            </w:pPr>
            <w:r>
              <w:rPr>
                <w:rFonts w:ascii="Arial" w:cs="Arial" w:eastAsia="Arial" w:hAnsi="Arial"/>
                <w:sz w:val="16"/>
                <w:szCs w:val="16"/>
                <w:color w:val="auto"/>
                <w:w w:val="92"/>
              </w:rPr>
              <w:t>The Nasdaq Global Market</w:t>
            </w:r>
          </w:p>
        </w:tc>
      </w:tr>
    </w:tbl>
    <w:p>
      <w:pPr>
        <w:spacing w:after="0" w:line="91" w:lineRule="exact"/>
        <w:rPr>
          <w:sz w:val="24"/>
          <w:szCs w:val="24"/>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ind w:right="24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ind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4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65" w:lineRule="exact"/>
        <w:rPr>
          <w:sz w:val="24"/>
          <w:szCs w:val="24"/>
          <w:color w:val="auto"/>
        </w:rPr>
      </w:pPr>
    </w:p>
    <w:p>
      <w:pPr>
        <w:ind w:right="580"/>
        <w:spacing w:after="0" w:line="29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1" w:lineRule="exact"/>
        <w:rPr>
          <w:sz w:val="24"/>
          <w:szCs w:val="24"/>
          <w:color w:val="auto"/>
        </w:rPr>
      </w:pPr>
    </w:p>
    <w:p>
      <w:pPr>
        <w:ind w:right="2620"/>
        <w:spacing w:after="0" w:line="26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as of July 24, 2023 was 21,060,339.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Page</w:t>
            </w:r>
          </w:p>
        </w:tc>
      </w:tr>
      <w:tr>
        <w:trPr>
          <w:trHeight w:val="256"/>
        </w:trPr>
        <w:tc>
          <w:tcPr>
            <w:tcW w:w="1460" w:type="dxa"/>
            <w:vAlign w:val="bottom"/>
          </w:tcPr>
          <w:p>
            <w:pPr>
              <w:ind w:left="20"/>
              <w:spacing w:after="0"/>
              <w:rPr>
                <w:sz w:val="20"/>
                <w:szCs w:val="20"/>
                <w:color w:val="auto"/>
              </w:rPr>
            </w:pPr>
            <w:r>
              <w:rPr>
                <w:rFonts w:ascii="Arial" w:cs="Arial" w:eastAsia="Arial" w:hAnsi="Arial"/>
                <w:sz w:val="18"/>
                <w:szCs w:val="18"/>
                <w:color w:val="auto"/>
              </w:rPr>
              <w:t>PART I</w:t>
            </w:r>
          </w:p>
        </w:tc>
        <w:tc>
          <w:tcPr>
            <w:tcW w:w="8860" w:type="dxa"/>
            <w:vAlign w:val="bottom"/>
            <w:gridSpan w:val="17"/>
          </w:tcPr>
          <w:p>
            <w:pPr>
              <w:spacing w:after="0"/>
              <w:rPr>
                <w:sz w:val="20"/>
                <w:szCs w:val="20"/>
                <w:color w:val="auto"/>
              </w:rPr>
            </w:pPr>
            <w:r>
              <w:rPr>
                <w:rFonts w:ascii="Arial" w:cs="Arial" w:eastAsia="Arial" w:hAnsi="Arial"/>
                <w:sz w:val="18"/>
                <w:szCs w:val="18"/>
                <w:color w:val="0000FF"/>
              </w:rPr>
              <w:t>FINANCIAL INFORMATION</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460" w:type="dxa"/>
            <w:vAlign w:val="bottom"/>
          </w:tcPr>
          <w:p>
            <w:pPr>
              <w:ind w:left="20"/>
              <w:spacing w:after="0"/>
              <w:rPr>
                <w:sz w:val="20"/>
                <w:szCs w:val="20"/>
                <w:color w:val="auto"/>
              </w:rPr>
            </w:pPr>
            <w:r>
              <w:rPr>
                <w:rFonts w:ascii="Arial" w:cs="Arial" w:eastAsia="Arial" w:hAnsi="Arial"/>
                <w:sz w:val="18"/>
                <w:szCs w:val="18"/>
                <w:color w:val="auto"/>
              </w:rPr>
              <w:t>Item 1.</w:t>
            </w:r>
          </w:p>
        </w:tc>
        <w:tc>
          <w:tcPr>
            <w:tcW w:w="8860" w:type="dxa"/>
            <w:vAlign w:val="bottom"/>
            <w:gridSpan w:val="17"/>
          </w:tcPr>
          <w:p>
            <w:pPr>
              <w:spacing w:after="0"/>
              <w:rPr>
                <w:sz w:val="20"/>
                <w:szCs w:val="20"/>
                <w:color w:val="auto"/>
              </w:rPr>
            </w:pPr>
            <w:r>
              <w:rPr>
                <w:rFonts w:ascii="Arial" w:cs="Arial" w:eastAsia="Arial" w:hAnsi="Arial"/>
                <w:sz w:val="18"/>
                <w:szCs w:val="18"/>
                <w:color w:val="0000FF"/>
              </w:rPr>
              <w:t>Unaudited Consolidated Financial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0000FF"/>
              </w:rPr>
              <w:t>Consolidated Balance Sheets as of June 30, 2023 and December 31, 2022</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0000FF"/>
                <w:w w:val="90"/>
              </w:rPr>
              <w:t>Consolidated Statements of Operations and Comprehensive Loss for the Three and Six Months Ended June 30, 2023 and</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460" w:type="dxa"/>
            <w:vAlign w:val="bottom"/>
          </w:tcPr>
          <w:p>
            <w:pPr>
              <w:spacing w:after="0"/>
              <w:rPr>
                <w:sz w:val="17"/>
                <w:szCs w:val="17"/>
                <w:color w:val="auto"/>
              </w:rPr>
            </w:pPr>
          </w:p>
        </w:tc>
        <w:tc>
          <w:tcPr>
            <w:tcW w:w="8860" w:type="dxa"/>
            <w:vAlign w:val="bottom"/>
            <w:gridSpan w:val="17"/>
          </w:tcPr>
          <w:p>
            <w:pPr>
              <w:spacing w:after="0" w:line="196" w:lineRule="exact"/>
              <w:rPr>
                <w:sz w:val="20"/>
                <w:szCs w:val="20"/>
                <w:color w:val="auto"/>
              </w:rPr>
            </w:pPr>
            <w:r>
              <w:rPr>
                <w:rFonts w:ascii="Arial" w:cs="Arial" w:eastAsia="Arial" w:hAnsi="Arial"/>
                <w:sz w:val="18"/>
                <w:szCs w:val="18"/>
                <w:color w:val="0000FF"/>
              </w:rPr>
              <w:t>June 30, 2022</w:t>
            </w:r>
          </w:p>
        </w:tc>
        <w:tc>
          <w:tcPr>
            <w:tcW w:w="920" w:type="dxa"/>
            <w:vAlign w:val="bottom"/>
          </w:tcPr>
          <w:p>
            <w:pPr>
              <w:spacing w:after="0"/>
              <w:rPr>
                <w:sz w:val="17"/>
                <w:szCs w:val="17"/>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0000FF"/>
              </w:rPr>
              <w:t>Consolidated Statements of Cash Flows for the Six Months Ended June 30, 2023 and June 30, 2022</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0000FF"/>
                <w:w w:val="92"/>
              </w:rPr>
              <w:t>Consolidated Statements of Stockholders’ Equity for the Three and Six Months Ended June 30, 2023 and June 30, 2022</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0000FF"/>
              </w:rPr>
              <w:t>Notes to Consolidated Financial Statements</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Item 4.</w:t>
            </w:r>
          </w:p>
        </w:tc>
        <w:tc>
          <w:tcPr>
            <w:tcW w:w="88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460" w:type="dxa"/>
            <w:vAlign w:val="bottom"/>
          </w:tcPr>
          <w:p>
            <w:pPr>
              <w:ind w:left="20"/>
              <w:spacing w:after="0"/>
              <w:rPr>
                <w:sz w:val="20"/>
                <w:szCs w:val="20"/>
                <w:color w:val="auto"/>
              </w:rPr>
            </w:pPr>
            <w:r>
              <w:rPr>
                <w:rFonts w:ascii="Arial" w:cs="Arial" w:eastAsia="Arial" w:hAnsi="Arial"/>
                <w:sz w:val="18"/>
                <w:szCs w:val="18"/>
                <w:color w:val="auto"/>
              </w:rPr>
              <w:t>PART II</w:t>
            </w:r>
          </w:p>
        </w:tc>
        <w:tc>
          <w:tcPr>
            <w:tcW w:w="8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Item 1.</w:t>
            </w:r>
          </w:p>
        </w:tc>
        <w:tc>
          <w:tcPr>
            <w:tcW w:w="88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Item 1A.</w:t>
            </w:r>
          </w:p>
        </w:tc>
        <w:tc>
          <w:tcPr>
            <w:tcW w:w="88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Item 2.</w:t>
            </w:r>
          </w:p>
        </w:tc>
        <w:tc>
          <w:tcPr>
            <w:tcW w:w="88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80" w:type="dxa"/>
            <w:vAlign w:val="bottom"/>
            <w:gridSpan w:val="9"/>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ind w:left="20"/>
              <w:spacing w:after="0"/>
              <w:rPr>
                <w:sz w:val="20"/>
                <w:szCs w:val="20"/>
                <w:color w:val="auto"/>
              </w:rPr>
            </w:pPr>
            <w:r>
              <w:rPr>
                <w:rFonts w:ascii="Arial" w:cs="Arial" w:eastAsia="Arial" w:hAnsi="Arial"/>
                <w:sz w:val="18"/>
                <w:szCs w:val="18"/>
                <w:color w:val="auto"/>
              </w:rPr>
              <w:t>Item 6.</w:t>
            </w:r>
          </w:p>
        </w:tc>
        <w:tc>
          <w:tcPr>
            <w:tcW w:w="88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886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682"/>
        </w:trPr>
        <w:tc>
          <w:tcPr>
            <w:tcW w:w="1460" w:type="dxa"/>
            <w:vAlign w:val="bottom"/>
          </w:tcPr>
          <w:p>
            <w:pPr>
              <w:spacing w:after="0"/>
              <w:rPr>
                <w:sz w:val="24"/>
                <w:szCs w:val="24"/>
                <w:color w:val="auto"/>
              </w:rPr>
            </w:pPr>
          </w:p>
        </w:tc>
        <w:tc>
          <w:tcPr>
            <w:tcW w:w="740" w:type="dxa"/>
            <w:vAlign w:val="bottom"/>
            <w:tcBorders>
              <w:top w:val="single" w:sz="8" w:color="0000FF"/>
            </w:tcBorders>
            <w:gridSpan w:val="2"/>
          </w:tcPr>
          <w:p>
            <w:pPr>
              <w:spacing w:after="0"/>
              <w:rPr>
                <w:sz w:val="24"/>
                <w:szCs w:val="24"/>
                <w:color w:val="auto"/>
              </w:rPr>
            </w:pPr>
          </w:p>
        </w:tc>
        <w:tc>
          <w:tcPr>
            <w:tcW w:w="3580" w:type="dxa"/>
            <w:vAlign w:val="bottom"/>
            <w:gridSpan w:val="9"/>
          </w:tcPr>
          <w:p>
            <w:pPr>
              <w:jc w:val="right"/>
              <w:ind w:right="12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r>
      <w:tr>
        <w:trPr>
          <w:trHeight w:val="243"/>
        </w:trPr>
        <w:tc>
          <w:tcPr>
            <w:tcW w:w="718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3,313</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11,749</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21,748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17,229</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4,017</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3,317</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Unbilled receivables, net</w:t>
            </w:r>
          </w:p>
        </w:tc>
        <w:tc>
          <w:tcPr>
            <w:tcW w:w="3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2,820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2,929</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receivable</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1,498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1,362</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693</w:t>
            </w:r>
          </w:p>
        </w:tc>
      </w:tr>
      <w:tr>
        <w:trPr>
          <w:trHeight w:val="243"/>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34,114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37,279</w:t>
            </w:r>
          </w:p>
        </w:tc>
      </w:tr>
      <w:tr>
        <w:trPr>
          <w:trHeight w:val="243"/>
        </w:trPr>
        <w:tc>
          <w:tcPr>
            <w:tcW w:w="7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726</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2,599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2,806</w:t>
            </w: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3,120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3,120</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Note receivable</w:t>
            </w:r>
          </w:p>
        </w:tc>
        <w:tc>
          <w:tcPr>
            <w:tcW w:w="3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2,663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2,601</w:t>
            </w: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4,402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4,538</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w:t>
            </w:r>
          </w:p>
        </w:tc>
      </w:tr>
      <w:tr>
        <w:trPr>
          <w:trHeight w:val="277"/>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47,672</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51,192</w:t>
            </w:r>
          </w:p>
        </w:tc>
      </w:tr>
      <w:tr>
        <w:trPr>
          <w:trHeight w:val="466"/>
        </w:trPr>
        <w:tc>
          <w:tcPr>
            <w:tcW w:w="7180" w:type="dxa"/>
            <w:vAlign w:val="bottom"/>
          </w:tcPr>
          <w:p>
            <w:pPr>
              <w:ind w:left="156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595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639</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1,282</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470</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3,411</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Current portion of contingent acquisition payment</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6,627</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5,802</w:t>
            </w:r>
          </w:p>
        </w:tc>
      </w:tr>
      <w:tr>
        <w:trPr>
          <w:trHeight w:val="479"/>
        </w:trPr>
        <w:tc>
          <w:tcPr>
            <w:tcW w:w="7180" w:type="dxa"/>
            <w:vAlign w:val="bottom"/>
          </w:tcPr>
          <w:p>
            <w:pPr>
              <w:ind w:left="20"/>
              <w:spacing w:after="0"/>
              <w:rPr>
                <w:sz w:val="20"/>
                <w:szCs w:val="20"/>
                <w:color w:val="auto"/>
              </w:rPr>
            </w:pPr>
            <w:r>
              <w:rPr>
                <w:rFonts w:ascii="Arial" w:cs="Arial" w:eastAsia="Arial" w:hAnsi="Arial"/>
                <w:sz w:val="18"/>
                <w:szCs w:val="18"/>
                <w:color w:val="auto"/>
              </w:rPr>
              <w:t>Long-term deferred revenue</w:t>
            </w:r>
          </w:p>
        </w:tc>
        <w:tc>
          <w:tcPr>
            <w:tcW w:w="3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322</w:t>
            </w:r>
          </w:p>
        </w:tc>
      </w:tr>
      <w:tr>
        <w:trPr>
          <w:trHeight w:val="25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3,948</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4,047</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Long-term portion of contingent acquisition payment</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812</w:t>
            </w:r>
          </w:p>
        </w:tc>
      </w:tr>
      <w:tr>
        <w:trPr>
          <w:trHeight w:val="243"/>
        </w:trPr>
        <w:tc>
          <w:tcPr>
            <w:tcW w:w="7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long-term liabilities</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4,603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5,181</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1"/>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$1.00 par value; 1,000,000 shares authorized,</w:t>
            </w:r>
          </w:p>
        </w:tc>
        <w:tc>
          <w:tcPr>
            <w:tcW w:w="3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44"/>
        </w:trPr>
        <w:tc>
          <w:tcPr>
            <w:tcW w:w="7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none outstanding</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15"/>
        </w:trPr>
        <w:tc>
          <w:tcPr>
            <w:tcW w:w="7180" w:type="dxa"/>
            <w:vAlign w:val="bottom"/>
          </w:tcPr>
          <w:p>
            <w:pPr>
              <w:ind w:left="200"/>
              <w:spacing w:after="0"/>
              <w:rPr>
                <w:sz w:val="20"/>
                <w:szCs w:val="20"/>
                <w:color w:val="auto"/>
              </w:rPr>
            </w:pPr>
            <w:r>
              <w:rPr>
                <w:rFonts w:ascii="Arial" w:cs="Arial" w:eastAsia="Arial" w:hAnsi="Arial"/>
                <w:sz w:val="18"/>
                <w:szCs w:val="18"/>
                <w:color w:val="auto"/>
                <w:w w:val="98"/>
              </w:rPr>
              <w:t>Common stock, $.01 par value; 70,000,000 shares authorized; issued and outstanding of</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20,993,235 as of June 30, 2023 and 21,093,447 as of December 31, 2022</w:t>
            </w:r>
          </w:p>
        </w:tc>
        <w:tc>
          <w:tcPr>
            <w:tcW w:w="3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211</w:t>
            </w:r>
          </w:p>
        </w:tc>
      </w:tr>
      <w:tr>
        <w:trPr>
          <w:trHeight w:val="250"/>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98,740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98,306</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(62,418 )</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(58,198 )</w:t>
            </w: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(91 )</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(110 )</w:t>
            </w:r>
          </w:p>
        </w:tc>
      </w:tr>
      <w:tr>
        <w:trPr>
          <w:trHeight w:val="237"/>
        </w:trPr>
        <w:tc>
          <w:tcPr>
            <w:tcW w:w="71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36,442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40,209</w:t>
            </w:r>
          </w:p>
        </w:tc>
      </w:tr>
      <w:tr>
        <w:trPr>
          <w:trHeight w:val="243"/>
        </w:trPr>
        <w:tc>
          <w:tcPr>
            <w:tcW w:w="7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47,672</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51,192</w:t>
            </w:r>
          </w:p>
        </w:tc>
      </w:tr>
      <w:tr>
        <w:trPr>
          <w:trHeight w:val="419"/>
        </w:trPr>
        <w:tc>
          <w:tcPr>
            <w:tcW w:w="9100" w:type="dxa"/>
            <w:vAlign w:val="bottom"/>
            <w:gridSpan w:val="3"/>
          </w:tcPr>
          <w:p>
            <w:pPr>
              <w:ind w:left="2560"/>
              <w:spacing w:after="0"/>
              <w:rPr>
                <w:sz w:val="20"/>
                <w:szCs w:val="20"/>
                <w:color w:val="auto"/>
              </w:rPr>
            </w:pPr>
            <w:r>
              <w:rPr>
                <w:rFonts w:ascii="Arial" w:cs="Arial" w:eastAsia="Arial" w:hAnsi="Arial"/>
                <w:sz w:val="18"/>
                <w:szCs w:val="18"/>
                <w:color w:val="auto"/>
                <w:w w:val="95"/>
              </w:rPr>
              <w:t>The accompanying notes are an integral part of the consolidated financial statements.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2"/>
        </w:trPr>
        <w:tc>
          <w:tcPr>
            <w:tcW w:w="7180" w:type="dxa"/>
            <w:vAlign w:val="bottom"/>
          </w:tcPr>
          <w:p>
            <w:pPr>
              <w:ind w:left="55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7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-4551045</wp:posOffset>
            </wp:positionV>
            <wp:extent cx="128905" cy="334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33401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-3128010</wp:posOffset>
            </wp:positionV>
            <wp:extent cx="128905"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31750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-1139190</wp:posOffset>
            </wp:positionV>
            <wp:extent cx="12890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3257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-659765</wp:posOffset>
            </wp:positionV>
            <wp:extent cx="128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-642620</wp:posOffset>
            </wp:positionV>
            <wp:extent cx="128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2022</w:t>
            </w:r>
          </w:p>
        </w:tc>
      </w:tr>
      <w:tr>
        <w:trPr>
          <w:trHeight w:val="241"/>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3,145</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4,646</w:t>
            </w: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Software maintenance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3,602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3,481</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803</w:t>
            </w:r>
          </w:p>
        </w:tc>
      </w:tr>
      <w:tr>
        <w:trPr>
          <w:trHeight w:val="237"/>
        </w:trPr>
        <w:tc>
          <w:tcPr>
            <w:tcW w:w="52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3,184</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4,238</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7,490</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8,930</w:t>
            </w:r>
          </w:p>
        </w:tc>
      </w:tr>
      <w:tr>
        <w:trPr>
          <w:trHeight w:val="479"/>
        </w:trPr>
        <w:tc>
          <w:tcPr>
            <w:tcW w:w="52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services and other revenue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638</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2,265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2,229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4,646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4,653</w:t>
            </w: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1,956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1,412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3,947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3,193</w:t>
            </w: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1,626</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3,079</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3,086</w:t>
            </w:r>
          </w:p>
        </w:tc>
      </w:tr>
      <w:tr>
        <w:trPr>
          <w:trHeight w:val="236"/>
        </w:trPr>
        <w:tc>
          <w:tcPr>
            <w:tcW w:w="52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6,120</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5,591</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12,295</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11,570</w:t>
            </w: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(2,936 )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(4,805 )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(2,640 )</w:t>
            </w:r>
          </w:p>
        </w:tc>
      </w:tr>
      <w:tr>
        <w:trPr>
          <w:trHeight w:val="24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(2,652 )</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(1,289 )</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(4,220 )</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(2,567 )</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(0.06 )</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(0.20 )</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(0.12 )</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loss per share –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(0.06 )</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(0.20 )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(0.12 )</w:t>
            </w: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 basic</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20,968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21,655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21,001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21,649</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2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20,968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21,655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21,001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21,649</w:t>
            </w:r>
          </w:p>
        </w:tc>
      </w:tr>
      <w:tr>
        <w:trPr>
          <w:trHeight w:val="256"/>
        </w:trPr>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7"/>
        </w:trPr>
        <w:tc>
          <w:tcPr>
            <w:tcW w:w="5200" w:type="dxa"/>
            <w:vAlign w:val="bottom"/>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6"/>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(1,289 )</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-3025140</wp:posOffset>
            </wp:positionV>
            <wp:extent cx="9398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-3025140</wp:posOffset>
            </wp:positionV>
            <wp:extent cx="9398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-3025140</wp:posOffset>
            </wp:positionV>
            <wp:extent cx="85725"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3168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-1928495</wp:posOffset>
            </wp:positionV>
            <wp:extent cx="939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-1928495</wp:posOffset>
            </wp:positionV>
            <wp:extent cx="939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-1928495</wp:posOffset>
            </wp:positionV>
            <wp:extent cx="8572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-1610995</wp:posOffset>
            </wp:positionV>
            <wp:extent cx="9398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34290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-1610995</wp:posOffset>
            </wp:positionV>
            <wp:extent cx="9398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34290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-1610995</wp:posOffset>
            </wp:positionV>
            <wp:extent cx="8572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-25400</wp:posOffset>
            </wp:positionV>
            <wp:extent cx="93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-8255</wp:posOffset>
            </wp:positionV>
            <wp:extent cx="93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93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93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41"/>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6"/>
              </w:rPr>
              <w:t>(4,220 )</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(2,567 )</w:t>
            </w:r>
          </w:p>
        </w:tc>
      </w:tr>
      <w:tr>
        <w:trPr>
          <w:trHeight w:val="221"/>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w:t>
            </w:r>
          </w:p>
        </w:tc>
        <w:tc>
          <w:tcPr>
            <w:tcW w:w="10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44"/>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used in operating activities: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446</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808</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Interest on note receivable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Bad debt recovery</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104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assets and liabilities: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(699 )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(432 )</w:t>
            </w:r>
          </w:p>
        </w:tc>
      </w:tr>
      <w:tr>
        <w:trPr>
          <w:trHeight w:val="249"/>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Unbilled receivables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(343 )</w:t>
            </w: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(379 )</w:t>
            </w:r>
          </w:p>
        </w:tc>
      </w:tr>
      <w:tr>
        <w:trPr>
          <w:trHeight w:val="249"/>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Tax receivable</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273</w:t>
            </w:r>
          </w:p>
        </w:tc>
      </w:tr>
      <w:tr>
        <w:trPr>
          <w:trHeight w:val="249"/>
        </w:trPr>
        <w:tc>
          <w:tcPr>
            <w:tcW w:w="76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(119 )</w:t>
            </w:r>
          </w:p>
        </w:tc>
      </w:tr>
      <w:tr>
        <w:trPr>
          <w:trHeight w:val="237"/>
        </w:trPr>
        <w:tc>
          <w:tcPr>
            <w:tcW w:w="7600" w:type="dxa"/>
            <w:vAlign w:val="bottom"/>
          </w:tcPr>
          <w:p>
            <w:pPr>
              <w:ind w:left="56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(207 )</w:t>
            </w:r>
          </w:p>
        </w:tc>
      </w:tr>
      <w:tr>
        <w:trPr>
          <w:trHeight w:val="236"/>
        </w:trPr>
        <w:tc>
          <w:tcPr>
            <w:tcW w:w="76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(3,699 )</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(2,558 )</w:t>
            </w:r>
          </w:p>
        </w:tc>
      </w:tr>
      <w:tr>
        <w:trPr>
          <w:trHeight w:val="479"/>
        </w:trPr>
        <w:tc>
          <w:tcPr>
            <w:tcW w:w="760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 of marketable securities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(7,917 )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 of marketable securities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Investment in note receivable</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(2,500 )</w:t>
            </w:r>
          </w:p>
        </w:tc>
      </w:tr>
      <w:tr>
        <w:trPr>
          <w:trHeight w:val="236"/>
        </w:trPr>
        <w:tc>
          <w:tcPr>
            <w:tcW w:w="76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(4,433 )</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(2,511 )</w:t>
            </w:r>
          </w:p>
        </w:tc>
      </w:tr>
      <w:tr>
        <w:trPr>
          <w:trHeight w:val="479"/>
        </w:trPr>
        <w:tc>
          <w:tcPr>
            <w:tcW w:w="76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93</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Payments made for taxes of employees who surrendered</w:t>
            </w: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7600" w:type="dxa"/>
            <w:vAlign w:val="bottom"/>
          </w:tcPr>
          <w:p>
            <w:pPr>
              <w:ind w:left="340"/>
              <w:spacing w:after="0"/>
              <w:rPr>
                <w:sz w:val="20"/>
                <w:szCs w:val="20"/>
                <w:color w:val="auto"/>
              </w:rPr>
            </w:pPr>
            <w:r>
              <w:rPr>
                <w:rFonts w:ascii="Arial" w:cs="Arial" w:eastAsia="Arial" w:hAnsi="Arial"/>
                <w:sz w:val="18"/>
                <w:szCs w:val="18"/>
                <w:color w:val="auto"/>
              </w:rPr>
              <w:t>shares related to unrestricted stock</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Repurchase of common stock</w:t>
            </w:r>
          </w:p>
        </w:tc>
        <w:tc>
          <w:tcPr>
            <w:tcW w:w="10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(341 )</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36"/>
        </w:trPr>
        <w:tc>
          <w:tcPr>
            <w:tcW w:w="7600" w:type="dxa"/>
            <w:vAlign w:val="bottom"/>
          </w:tcPr>
          <w:p>
            <w:pPr>
              <w:ind w:left="740"/>
              <w:spacing w:after="0"/>
              <w:rPr>
                <w:sz w:val="20"/>
                <w:szCs w:val="20"/>
                <w:color w:val="auto"/>
              </w:rPr>
            </w:pPr>
            <w:r>
              <w:rPr>
                <w:rFonts w:ascii="Arial" w:cs="Arial" w:eastAsia="Arial" w:hAnsi="Arial"/>
                <w:sz w:val="18"/>
                <w:szCs w:val="18"/>
                <w:color w:val="auto"/>
              </w:rPr>
              <w:t>Net cash (used in) provided by financing activities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(304 )</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r>
      <w:tr>
        <w:trPr>
          <w:trHeight w:val="243"/>
        </w:trPr>
        <w:tc>
          <w:tcPr>
            <w:tcW w:w="7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 in cash and cash equivalents</w:t>
            </w:r>
          </w:p>
        </w:tc>
        <w:tc>
          <w:tcPr>
            <w:tcW w:w="10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(8,436 )</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11,749</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29,963</w:t>
            </w: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3,313</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24,984</w:t>
            </w:r>
          </w:p>
        </w:tc>
      </w:tr>
      <w:tr>
        <w:trPr>
          <w:trHeight w:val="466"/>
        </w:trPr>
        <w:tc>
          <w:tcPr>
            <w:tcW w:w="7600" w:type="dxa"/>
            <w:vAlign w:val="bottom"/>
          </w:tcPr>
          <w:p>
            <w:pPr>
              <w:ind w:left="20"/>
              <w:spacing w:after="0"/>
              <w:rPr>
                <w:sz w:val="20"/>
                <w:szCs w:val="20"/>
                <w:color w:val="auto"/>
              </w:rPr>
            </w:pPr>
            <w:r>
              <w:rPr>
                <w:rFonts w:ascii="Arial" w:cs="Arial" w:eastAsia="Arial" w:hAnsi="Arial"/>
                <w:sz w:val="18"/>
                <w:szCs w:val="18"/>
                <w:color w:val="auto"/>
              </w:rPr>
              <w:t>Supplemental disclosure: Cash paid for income taxes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
        </w:trPr>
        <w:tc>
          <w:tcPr>
            <w:tcW w:w="7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-3171190</wp:posOffset>
            </wp:positionV>
            <wp:extent cx="12890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31750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-2073910</wp:posOffset>
            </wp:positionV>
            <wp:extent cx="128905"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31750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-1156970</wp:posOffset>
            </wp:positionV>
            <wp:extent cx="128905"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3257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-359410</wp:posOffset>
            </wp:positionV>
            <wp:extent cx="128905"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36004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r>
        <w:rPr>
          <w:rFonts w:ascii="Arial" w:cs="Arial" w:eastAsia="Arial" w:hAnsi="Arial"/>
          <w:sz w:val="19"/>
          <w:szCs w:val="19"/>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gridSpan w:val="15"/>
          </w:tcPr>
          <w:p>
            <w:pPr>
              <w:jc w:val="right"/>
              <w:ind w:right="928"/>
              <w:spacing w:after="0"/>
              <w:rPr>
                <w:sz w:val="20"/>
                <w:szCs w:val="20"/>
                <w:color w:val="auto"/>
              </w:rPr>
            </w:pPr>
            <w:r>
              <w:rPr>
                <w:rFonts w:ascii="Arial" w:cs="Arial" w:eastAsia="Arial" w:hAnsi="Arial"/>
                <w:sz w:val="14"/>
                <w:szCs w:val="14"/>
                <w:b w:val="1"/>
                <w:bCs w:val="1"/>
                <w:color w:val="auto"/>
              </w:rPr>
              <w:t>For the Three and Six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2"/>
              </w:rPr>
              <w:t>June 30, 2022</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6"/>
            <w:vMerge w:val="restart"/>
          </w:tcPr>
          <w:p>
            <w:pPr>
              <w:jc w:val="center"/>
              <w:ind w:right="308"/>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4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21,614</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97,778</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(56,472 )</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41,522</w:t>
            </w:r>
          </w:p>
        </w:tc>
        <w:tc>
          <w:tcPr>
            <w:tcW w:w="0" w:type="dxa"/>
            <w:vAlign w:val="bottom"/>
          </w:tcPr>
          <w:p>
            <w:pPr>
              <w:spacing w:after="0"/>
              <w:rPr>
                <w:sz w:val="1"/>
                <w:szCs w:val="1"/>
                <w:color w:val="auto"/>
              </w:rPr>
            </w:pPr>
          </w:p>
        </w:tc>
      </w:tr>
      <w:tr>
        <w:trPr>
          <w:trHeight w:val="351"/>
        </w:trPr>
        <w:tc>
          <w:tcPr>
            <w:tcW w:w="3900" w:type="dxa"/>
            <w:vAlign w:val="bottom"/>
          </w:tcPr>
          <w:p>
            <w:pPr>
              <w:ind w:left="200"/>
              <w:spacing w:after="0"/>
              <w:rPr>
                <w:sz w:val="20"/>
                <w:szCs w:val="20"/>
                <w:color w:val="auto"/>
              </w:rPr>
            </w:pPr>
            <w:r>
              <w:rPr>
                <w:rFonts w:ascii="Arial" w:cs="Arial" w:eastAsia="Arial" w:hAnsi="Arial"/>
                <w:sz w:val="14"/>
                <w:szCs w:val="14"/>
                <w:color w:val="auto"/>
              </w:rPr>
              <w:t>Issuance of unrestricted stock</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85"/>
              </w:rPr>
              <w:t>430</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(1,278 )</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(1,278 )</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21,642</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98,208</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(57,750 )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40,674</w:t>
            </w:r>
          </w:p>
        </w:tc>
        <w:tc>
          <w:tcPr>
            <w:tcW w:w="0" w:type="dxa"/>
            <w:vAlign w:val="bottom"/>
          </w:tcPr>
          <w:p>
            <w:pPr>
              <w:spacing w:after="0"/>
              <w:rPr>
                <w:sz w:val="1"/>
                <w:szCs w:val="1"/>
                <w:color w:val="auto"/>
              </w:rPr>
            </w:pPr>
          </w:p>
        </w:tc>
      </w:tr>
      <w:tr>
        <w:trPr>
          <w:trHeight w:val="351"/>
        </w:trPr>
        <w:tc>
          <w:tcPr>
            <w:tcW w:w="3900" w:type="dxa"/>
            <w:vAlign w:val="bottom"/>
          </w:tcPr>
          <w:p>
            <w:pPr>
              <w:ind w:left="200"/>
              <w:spacing w:after="0"/>
              <w:rPr>
                <w:sz w:val="20"/>
                <w:szCs w:val="20"/>
                <w:color w:val="auto"/>
              </w:rPr>
            </w:pPr>
            <w:r>
              <w:rPr>
                <w:rFonts w:ascii="Arial" w:cs="Arial" w:eastAsia="Arial" w:hAnsi="Arial"/>
                <w:sz w:val="14"/>
                <w:szCs w:val="14"/>
                <w:color w:val="auto"/>
                <w:w w:val="92"/>
              </w:rPr>
              <w:t>Issuance of common stock under employee stock purchase plan</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85"/>
              </w:rPr>
              <w:t>378</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(3 )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(1,289 )</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(1,289 )</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30, 2022</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21,681</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708"/>
              <w:spacing w:after="0"/>
              <w:rPr>
                <w:sz w:val="20"/>
                <w:szCs w:val="20"/>
                <w:color w:val="auto"/>
              </w:rPr>
            </w:pPr>
            <w:r>
              <w:rPr>
                <w:rFonts w:ascii="Arial" w:cs="Arial" w:eastAsia="Arial" w:hAnsi="Arial"/>
                <w:sz w:val="14"/>
                <w:szCs w:val="14"/>
                <w:color w:val="auto"/>
              </w:rPr>
              <w:t>$</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4"/>
            <w:shd w:val="clear" w:color="auto" w:fill="CFF0FC"/>
          </w:tcPr>
          <w:p>
            <w:pPr>
              <w:jc w:val="right"/>
              <w:spacing w:after="0"/>
              <w:rPr>
                <w:sz w:val="20"/>
                <w:szCs w:val="20"/>
                <w:color w:val="auto"/>
              </w:rPr>
            </w:pPr>
            <w:r>
              <w:rPr>
                <w:rFonts w:ascii="Arial" w:cs="Arial" w:eastAsia="Arial" w:hAnsi="Arial"/>
                <w:sz w:val="14"/>
                <w:szCs w:val="14"/>
                <w:color w:val="auto"/>
              </w:rPr>
              <w:t>98,675</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(59,039 )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39,853</w:t>
            </w:r>
          </w:p>
        </w:tc>
        <w:tc>
          <w:tcPr>
            <w:tcW w:w="0" w:type="dxa"/>
            <w:vAlign w:val="bottom"/>
          </w:tcPr>
          <w:p>
            <w:pPr>
              <w:spacing w:after="0"/>
              <w:rPr>
                <w:sz w:val="1"/>
                <w:szCs w:val="1"/>
                <w:color w:val="auto"/>
              </w:rPr>
            </w:pPr>
          </w:p>
        </w:tc>
      </w:tr>
      <w:tr>
        <w:trPr>
          <w:trHeight w:val="652"/>
        </w:trPr>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14"/>
          </w:tcPr>
          <w:p>
            <w:pPr>
              <w:jc w:val="right"/>
              <w:spacing w:after="0"/>
              <w:rPr>
                <w:sz w:val="20"/>
                <w:szCs w:val="20"/>
                <w:color w:val="auto"/>
              </w:rPr>
            </w:pPr>
            <w:r>
              <w:rPr>
                <w:rFonts w:ascii="Arial" w:cs="Arial" w:eastAsia="Arial" w:hAnsi="Arial"/>
                <w:sz w:val="14"/>
                <w:szCs w:val="14"/>
                <w:b w:val="1"/>
                <w:bCs w:val="1"/>
                <w:color w:val="auto"/>
              </w:rPr>
              <w:t>For the Three and Six Months Ended</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64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6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6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760" w:type="dxa"/>
            <w:vAlign w:val="bottom"/>
            <w:tcBorders>
              <w:top w:val="single" w:sz="8" w:color="auto"/>
            </w:tcBorders>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Amoun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1"/>
                <w:szCs w:val="11"/>
                <w:color w:val="auto"/>
              </w:rPr>
            </w:pPr>
          </w:p>
        </w:tc>
        <w:tc>
          <w:tcPr>
            <w:tcW w:w="1700" w:type="dxa"/>
            <w:vAlign w:val="bottom"/>
            <w:gridSpan w:val="5"/>
          </w:tcPr>
          <w:p>
            <w:pPr>
              <w:jc w:val="right"/>
              <w:ind w:right="168"/>
              <w:spacing w:after="0" w:line="133" w:lineRule="exact"/>
              <w:rPr>
                <w:sz w:val="20"/>
                <w:szCs w:val="20"/>
                <w:color w:val="auto"/>
              </w:rPr>
            </w:pPr>
            <w:r>
              <w:rPr>
                <w:rFonts w:ascii="Arial" w:cs="Arial" w:eastAsia="Arial" w:hAnsi="Arial"/>
                <w:sz w:val="14"/>
                <w:szCs w:val="14"/>
                <w:b w:val="1"/>
                <w:bCs w:val="1"/>
                <w:color w:val="auto"/>
                <w:w w:val="91"/>
              </w:rPr>
              <w:t>Comprehensive Income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28"/>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Arial" w:cs="Arial" w:eastAsia="Arial" w:hAnsi="Arial"/>
                <w:sz w:val="14"/>
                <w:szCs w:val="14"/>
                <w:color w:val="auto"/>
              </w:rPr>
              <w:t>Balance at December 31, 2022</w:t>
            </w:r>
          </w:p>
        </w:tc>
        <w:tc>
          <w:tcPr>
            <w:tcW w:w="76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21,093</w:t>
            </w:r>
          </w:p>
        </w:tc>
        <w:tc>
          <w:tcPr>
            <w:tcW w:w="12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15"/>
                <w:szCs w:val="15"/>
                <w:color w:val="auto"/>
              </w:rPr>
            </w:pPr>
          </w:p>
        </w:tc>
        <w:tc>
          <w:tcPr>
            <w:tcW w:w="1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98,306</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(58,198 )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(110 )</w:t>
            </w:r>
          </w:p>
        </w:tc>
        <w:tc>
          <w:tcPr>
            <w:tcW w:w="1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40,209</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unrestricted stock</w:t>
            </w:r>
          </w:p>
        </w:tc>
        <w:tc>
          <w:tcPr>
            <w:tcW w:w="7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900" w:type="dxa"/>
            <w:vAlign w:val="bottom"/>
          </w:tcPr>
          <w:p>
            <w:pPr>
              <w:ind w:left="200"/>
              <w:spacing w:after="0" w:line="143" w:lineRule="exact"/>
              <w:rPr>
                <w:sz w:val="20"/>
                <w:szCs w:val="20"/>
                <w:color w:val="auto"/>
              </w:rPr>
            </w:pPr>
            <w:r>
              <w:rPr>
                <w:rFonts w:ascii="Arial" w:cs="Arial" w:eastAsia="Arial" w:hAnsi="Arial"/>
                <w:sz w:val="14"/>
                <w:szCs w:val="14"/>
                <w:color w:val="auto"/>
              </w:rPr>
              <w:t>Shares surrendered by employees to pay taxes related to</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200"/>
              <w:spacing w:after="0"/>
              <w:rPr>
                <w:sz w:val="20"/>
                <w:szCs w:val="20"/>
                <w:color w:val="auto"/>
              </w:rPr>
            </w:pPr>
            <w:r>
              <w:rPr>
                <w:rFonts w:ascii="Arial" w:cs="Arial" w:eastAsia="Arial" w:hAnsi="Arial"/>
                <w:sz w:val="14"/>
                <w:szCs w:val="14"/>
                <w:color w:val="auto"/>
              </w:rPr>
              <w:t>unrestricted stock</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7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(191 )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(339 )</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(341 )</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400" w:type="dxa"/>
            <w:vAlign w:val="bottom"/>
          </w:tcPr>
          <w:p>
            <w:pPr>
              <w:spacing w:after="0"/>
              <w:rPr>
                <w:sz w:val="15"/>
                <w:szCs w:val="15"/>
                <w:color w:val="auto"/>
              </w:rPr>
            </w:pP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335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income</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(1,568 )</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spacing w:after="0"/>
              <w:rPr>
                <w:sz w:val="14"/>
                <w:szCs w:val="14"/>
                <w:color w:val="auto"/>
              </w:rPr>
            </w:pPr>
          </w:p>
        </w:tc>
        <w:tc>
          <w:tcPr>
            <w:tcW w:w="280" w:type="dxa"/>
            <w:vAlign w:val="bottom"/>
            <w:gridSpan w:val="2"/>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gridSpan w:val="2"/>
            <w:shd w:val="clear" w:color="auto" w:fill="CFF0FC"/>
          </w:tcPr>
          <w:p>
            <w:pPr>
              <w:spacing w:after="0"/>
              <w:rPr>
                <w:sz w:val="14"/>
                <w:szCs w:val="14"/>
                <w:color w:val="auto"/>
              </w:rPr>
            </w:pPr>
          </w:p>
        </w:tc>
        <w:tc>
          <w:tcPr>
            <w:tcW w:w="960" w:type="dxa"/>
            <w:vAlign w:val="bottom"/>
            <w:gridSpan w:val="2"/>
            <w:shd w:val="clear" w:color="auto" w:fill="CFF0FC"/>
          </w:tcPr>
          <w:p>
            <w:pPr>
              <w:spacing w:after="0"/>
              <w:rPr>
                <w:sz w:val="14"/>
                <w:szCs w:val="14"/>
                <w:color w:val="auto"/>
              </w:rPr>
            </w:pPr>
          </w:p>
        </w:tc>
        <w:tc>
          <w:tcPr>
            <w:tcW w:w="280" w:type="dxa"/>
            <w:vAlign w:val="bottom"/>
            <w:gridSpan w:val="3"/>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rPr>
                <w:sz w:val="20"/>
                <w:szCs w:val="20"/>
                <w:color w:val="auto"/>
              </w:rPr>
            </w:pPr>
            <w:r>
              <w:rPr>
                <w:rFonts w:ascii="Arial" w:cs="Arial" w:eastAsia="Arial" w:hAnsi="Arial"/>
                <w:sz w:val="14"/>
                <w:szCs w:val="14"/>
                <w:color w:val="auto"/>
              </w:rPr>
              <w:t>Balance at March 31, 2023</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20,955</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210</w:t>
            </w:r>
          </w:p>
        </w:tc>
        <w:tc>
          <w:tcPr>
            <w:tcW w:w="140" w:type="dxa"/>
            <w:vAlign w:val="bottom"/>
          </w:tcPr>
          <w:p>
            <w:pPr>
              <w:spacing w:after="0"/>
              <w:rPr>
                <w:sz w:val="15"/>
                <w:szCs w:val="15"/>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98,286</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(59,766 )</w:t>
            </w:r>
          </w:p>
        </w:tc>
        <w:tc>
          <w:tcPr>
            <w:tcW w:w="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38,767</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9"/>
              </w:rPr>
              <w:t>Issuance of common stock under employee stock purchase</w:t>
            </w:r>
          </w:p>
        </w:tc>
        <w:tc>
          <w:tcPr>
            <w:tcW w:w="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plan</w:t>
            </w:r>
          </w:p>
        </w:tc>
        <w:tc>
          <w:tcPr>
            <w:tcW w:w="7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400" w:type="dxa"/>
            <w:vAlign w:val="bottom"/>
          </w:tcPr>
          <w:p>
            <w:pPr>
              <w:spacing w:after="0"/>
              <w:rPr>
                <w:sz w:val="15"/>
                <w:szCs w:val="15"/>
                <w:color w:val="auto"/>
              </w:rPr>
            </w:pP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4"/>
                <w:szCs w:val="14"/>
                <w:color w:val="auto"/>
              </w:rPr>
              <w:t>403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comprehensive loss</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0</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(128 )</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(2,652 )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(2,652 )</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28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30, 2023</w:t>
            </w:r>
          </w:p>
        </w:tc>
        <w:tc>
          <w:tcPr>
            <w:tcW w:w="7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20,993</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center"/>
              <w:ind w:right="2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98,740</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(62,418 )</w:t>
            </w:r>
          </w:p>
        </w:tc>
        <w:tc>
          <w:tcPr>
            <w:tcW w:w="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(91 )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36,442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-3316605</wp:posOffset>
            </wp:positionV>
            <wp:extent cx="8572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-3316605</wp:posOffset>
            </wp:positionV>
            <wp:extent cx="8572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-3316605</wp:posOffset>
            </wp:positionV>
            <wp:extent cx="9398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200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-3316605</wp:posOffset>
            </wp:positionV>
            <wp:extent cx="8572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Company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Company</w:t>
      </w:r>
    </w:p>
    <w:p>
      <w:pPr>
        <w:spacing w:after="0" w:line="185" w:lineRule="exact"/>
        <w:rPr>
          <w:sz w:val="20"/>
          <w:szCs w:val="20"/>
          <w:color w:val="auto"/>
        </w:rPr>
      </w:pPr>
    </w:p>
    <w:p>
      <w:pPr>
        <w:ind w:left="380"/>
        <w:spacing w:after="0" w:line="342" w:lineRule="auto"/>
        <w:rPr>
          <w:sz w:val="20"/>
          <w:szCs w:val="20"/>
          <w:color w:val="auto"/>
        </w:rPr>
      </w:pPr>
      <w:r>
        <w:rPr>
          <w:rFonts w:ascii="Arial" w:cs="Arial" w:eastAsia="Arial" w:hAnsi="Arial"/>
          <w:sz w:val="16"/>
          <w:szCs w:val="16"/>
          <w:color w:val="auto"/>
        </w:rPr>
        <w:t>We are a global leader in biometrics software offerings and solutions. Our portfolio enables government agencies and commercial entities to enroll, identify, authenticate and enable using biometrics, which comprise physiological characteristics, such as fingerprints, faces, irises and voices.</w:t>
      </w:r>
    </w:p>
    <w:p>
      <w:pPr>
        <w:spacing w:after="0" w:line="79"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Enroll: </w:t>
      </w:r>
      <w:r>
        <w:rPr>
          <w:rFonts w:ascii="Arial" w:cs="Arial" w:eastAsia="Arial" w:hAnsi="Arial"/>
          <w:sz w:val="18"/>
          <w:szCs w:val="18"/>
          <w:color w:val="auto"/>
        </w:rPr>
        <w:t>Register biometric identities into an organization’s secure database</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Identify: </w:t>
      </w:r>
      <w:r>
        <w:rPr>
          <w:rFonts w:ascii="Arial" w:cs="Arial" w:eastAsia="Arial" w:hAnsi="Arial"/>
          <w:sz w:val="18"/>
          <w:szCs w:val="18"/>
          <w:color w:val="auto"/>
        </w:rPr>
        <w:t>Utilize an organization’s secure database to accurately identify individuals using biometric data</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Authenticate: </w:t>
      </w:r>
      <w:r>
        <w:rPr>
          <w:rFonts w:ascii="Arial" w:cs="Arial" w:eastAsia="Arial" w:hAnsi="Arial"/>
          <w:sz w:val="18"/>
          <w:szCs w:val="18"/>
          <w:color w:val="auto"/>
        </w:rPr>
        <w:t>Provide frictionless multi-factor, passwordless access to secured accounts and databases with biometric verification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Enable: </w:t>
      </w:r>
      <w:r>
        <w:rPr>
          <w:rFonts w:ascii="Arial" w:cs="Arial" w:eastAsia="Arial" w:hAnsi="Arial"/>
          <w:sz w:val="18"/>
          <w:szCs w:val="18"/>
          <w:color w:val="auto"/>
        </w:rPr>
        <w:t>Manage the lifecycle of secure identities through optimized biometric interchanges</w:t>
      </w:r>
    </w:p>
    <w:p>
      <w:pPr>
        <w:spacing w:after="0" w:line="202"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We have been engaged in this business since 1993. 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7"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 added resellers (VARs), partners, and directly to end user customers.</w:t>
      </w:r>
    </w:p>
    <w:p>
      <w:pPr>
        <w:spacing w:after="0" w:line="152"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Certain amounts in the consolidated financial statements and associated notes may not add due to rounding. All percentages have been calculated using unrounded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two years ended December 31, 2022 in conjunction with our 2022 Annual Report on Form 10-K. This Form 10-Q should be read in conjunction with that Form 10-K.</w:t>
      </w:r>
    </w:p>
    <w:p>
      <w:pPr>
        <w:spacing w:after="0" w:line="147"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The accompanying unaudited consolidated balance sheets, statements of operations and comprehensive loss, statements of cash flows, and statements of stockholders’ equity reflect all adjustments (consisting only of normal recurring items) which are, in the opinion of management, necessary for a fair presentation of financial position at June 30, 2023, and of operations and cash flows for the interim periods ended June 30, 2023 and 2022.</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The results of operations for the interim periods ended June 30, 2023 are not necessarily indicative of the results to be expected for the year.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consolidated financial statements include the accounts of Aware, Inc. and its subsidiaries, Aware Security Corporation and Fortr3ss, Inc.</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Intercompany accounts and transactions have been eliminated in consolidation.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The most significant estimates included in the financial statements pertain to revenue recognition, reserves for credit losses, valuation of the contingent acquisition payment, valuation of the investment in the note receivable, goodwill and long-lived asset impairment and valuation allowance for deferred income tax assets.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9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 Update (“ASU”) No.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The ASU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contracts liabilities to be accounted for as if they (“the acquirer”) entered into the original contract at the same time and same date as the acquiree. The guidance is effective for reporting periods beginning after December 15, 2022, with early adoption permitted. The adoption of this update did not have a material impact on our consolidated financial statements.</w:t>
      </w:r>
    </w:p>
    <w:p>
      <w:pPr>
        <w:spacing w:after="0" w:line="188" w:lineRule="exact"/>
        <w:rPr>
          <w:sz w:val="20"/>
          <w:szCs w:val="20"/>
          <w:color w:val="auto"/>
        </w:rPr>
      </w:pPr>
    </w:p>
    <w:p>
      <w:pPr>
        <w:ind w:left="520" w:right="8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changes the methodology for measuring credit losses on financial instruments and the timing of when such losses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guidance was to be effective for reporting periods beginning after December 15, 2019, with early adoption permitted. In November 2019, the FASB issued ASU 2019-10, </w:t>
      </w:r>
      <w:r>
        <w:rPr>
          <w:rFonts w:ascii="Arial" w:cs="Arial" w:eastAsia="Arial" w:hAnsi="Arial"/>
          <w:sz w:val="17"/>
          <w:szCs w:val="17"/>
          <w:i w:val="1"/>
          <w:iCs w:val="1"/>
          <w:color w:val="auto"/>
        </w:rPr>
        <w:t>Financial Instruments – Credit Losses (Topic 326), Derivatives and Hedging (Topic 815), and 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Dates, </w:t>
      </w:r>
      <w:r>
        <w:rPr>
          <w:rFonts w:ascii="Arial" w:cs="Arial" w:eastAsia="Arial" w:hAnsi="Arial"/>
          <w:sz w:val="17"/>
          <w:szCs w:val="17"/>
          <w:color w:val="auto"/>
        </w:rPr>
        <w:t>which deferred the effective dates for us, as a smaller reporting company, until fiscal year 2023. The adoption of this update did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89"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 xml:space="preserve">We recognize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ASC 606, we apply the following five step model:</w:t>
      </w:r>
    </w:p>
    <w:p>
      <w:pPr>
        <w:spacing w:after="0" w:line="143" w:lineRule="exact"/>
        <w:rPr>
          <w:sz w:val="20"/>
          <w:szCs w:val="20"/>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23"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each performance obligation is satisfied.</w:t>
      </w:r>
    </w:p>
    <w:p>
      <w:pPr>
        <w:spacing w:after="0" w:line="170"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We categorize revenue as software licenses, software maintenance, or services and other. Revenue from software licenses is recognized at a point in time upon delivery, provided all other revenue recognition criteria are met. We recognize software maintenance revenue over time on a straight-line basis over the contract period. Services revenue is recognized over time as the services are delivered using an input method (i.e., labor hours incurred as a percentage of total labor hours budgeted), provided all other revenue recognition criteria are met. Other revenue, includes hardware sales that may be included in a software license, is recognized at a point in time upon delivery provided all other revenue recognition criteria are met.</w:t>
      </w:r>
    </w:p>
    <w:p>
      <w:pPr>
        <w:spacing w:after="0" w:line="121"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p>
      <w:pPr>
        <w:jc w:val="both"/>
        <w:spacing w:after="0" w:line="290" w:lineRule="auto"/>
        <w:rPr>
          <w:sz w:val="20"/>
          <w:szCs w:val="20"/>
          <w:color w:val="auto"/>
        </w:rPr>
      </w:pPr>
      <w:r>
        <w:rPr>
          <w:rFonts w:ascii="Arial" w:cs="Arial" w:eastAsia="Arial" w:hAnsi="Arial"/>
          <w:sz w:val="16"/>
          <w:szCs w:val="16"/>
          <w:color w:val="auto"/>
        </w:rPr>
        <w:t>(“SSP”)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selling prices to estimate SSP when we sell each of the goods and services separately and need to determine whether there is a discount that needs to be allocated based on the relative SSP of the various goods and services within multiple performance obligation arrangements.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 In these instances, we may use information such as the nature of the customer and distribution channel in determining the SSP.</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subscription-based software is sold, the subscription-based software and software maintenance are generally considered distinct performance obligations. The transaction price is allocated to subscription-based software and the software maintenance based on the relative SSP of each performance obligation. We sell subscription-based software for a fixed fee and/or a usage-based royalty fee, sometimes subject to a minimum guarantee. When the amount is in the form of a fixed fee, including the guaranteed minimum in subscription-based royalties, revenue is allocated to the subscription-based software and recognized at a point in time upon delivery, provided all other revenue recognition criteria are met. Revenue allocated to the software maintenance is recognized over the contract term on a straight-line basis. Any subscription-based software fees earned not subject to the guaranteed minimum or earned in excess of the minimum amount are recognized as revenue when the subsequent usage occurs.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contracts can include variable fees, such as the option to purchase additional usage of a previously delivered software license. We may also provide pricing concessions to clients, a business practice that also gives rise to variable fees in contracts.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consideration is not adjusted for a significant financing component if the time between payment and the transfer of the related good or service is expected to be one year or less under the practical expedient in the guidance. Our revenue arrangements are typically accounted for under such expedient, as payment is typically due within 30 to 60 days. During the periods ended June 30, 2023 and 2022, none of our contracts contained a significant financing component.</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to the extent relevant in future periods with our acquisition of FortressID and adaption of our current products to be delivered in a hosted environment with AwareID, we expect to recognize revenue from our SaaS offerings in future periods. SaaS offerings will be recognized ratably over the subscription period. For the three and six months ended June 30, 2023 and 2022 we did not generate revenue from SaaS contracts.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organize ourselves into a single segment that reports to the Chief Executive Officer who is our chief operating decision maker. We conduct our operations in the United States and sell our products and</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services to domestic and international customers. Revenue generated from the following geographic regions was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7"/>
          </w:tcPr>
          <w:p>
            <w:pPr>
              <w:jc w:val="center"/>
              <w:ind w:right="3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5"/>
          </w:tcPr>
          <w:p>
            <w:pPr>
              <w:jc w:val="center"/>
              <w:ind w:left="310"/>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2,064</w:t>
            </w:r>
          </w:p>
        </w:tc>
        <w:tc>
          <w:tcPr>
            <w:tcW w:w="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2,274</w:t>
            </w: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4,118</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6"/>
              </w:rPr>
              <w:t>$ 4,310</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Germany</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1,061</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1,329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3,184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4,238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0"/>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0"/>
                <w:szCs w:val="20"/>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$ 8,930</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3"/>
              </w:rPr>
              <w:t>Revenue by timing of transfer of goods or services was (in thousands):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3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1800" w:type="dxa"/>
            <w:vAlign w:val="bottom"/>
            <w:gridSpan w:val="8"/>
          </w:tcPr>
          <w:p>
            <w:pPr>
              <w:ind w:left="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4"/>
              </w:rPr>
              <w:t>2022</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Goods or services transferred at a point in time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4"/>
              </w:rPr>
              <w:t>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2,502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Goods or services transferred over time</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2,451</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2,218</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4,988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4"/>
                <w:szCs w:val="24"/>
                <w:color w:val="auto"/>
              </w:rPr>
            </w:pPr>
          </w:p>
        </w:tc>
        <w:tc>
          <w:tcPr>
            <w:tcW w:w="39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3,184</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4"/>
              </w:rPr>
              <w:t>4,238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7,490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rPr>
              <w:t>Revenue by product group was (in thousands):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3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24"/>
                <w:szCs w:val="24"/>
                <w:color w:val="auto"/>
              </w:rPr>
            </w:pPr>
          </w:p>
        </w:tc>
        <w:tc>
          <w:tcPr>
            <w:tcW w:w="1800" w:type="dxa"/>
            <w:vAlign w:val="bottom"/>
            <w:gridSpan w:val="8"/>
          </w:tcPr>
          <w:p>
            <w:pPr>
              <w:ind w:left="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w w:val="94"/>
              </w:rPr>
              <w:t>2022</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84"/>
              </w:rPr>
              <w:t>2022</w:t>
            </w: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License and service contracts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2,748</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4"/>
              </w:rPr>
              <w:t>3,884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4"/>
              </w:rPr>
              <w:t>5,605</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Subscription-based contracts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1,885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4"/>
                <w:szCs w:val="24"/>
                <w:color w:val="auto"/>
              </w:rPr>
            </w:pPr>
          </w:p>
        </w:tc>
        <w:tc>
          <w:tcPr>
            <w:tcW w:w="39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3,184</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center"/>
              <w:ind w:right="6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4"/>
              </w:rPr>
              <w:t>4,238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7,490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-3016885</wp:posOffset>
            </wp:positionV>
            <wp:extent cx="8572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4684395</wp:posOffset>
            </wp:positionH>
            <wp:positionV relativeFrom="paragraph">
              <wp:posOffset>-3016885</wp:posOffset>
            </wp:positionV>
            <wp:extent cx="8572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-3016885</wp:posOffset>
            </wp:positionV>
            <wp:extent cx="8572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-1439545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-1422400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-1439545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-1422400</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5164455</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subscription-based contracts include revenue that may be recognized at a point in time or over time and be part of a fixed fee and or minimum guarantee as well as fees earned and allocated to software maintenance.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the timing of our delivery of goods or services is different from the timing of payments made by customers, we recognize either a contract asset (performance precedes contractual due date) or a contract liability (customer payment precedes performance). Customers that prepay are represented by the deferred revenue below until the performance obligation is satisfied.</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contract assets consist of unbilled receivables. Our contract liabilities consist of deferred (unearned) revenue, which is generally related to software maintenance contracts. We classify deferred revenue as current or noncurrent based on the timing of when we expect to recognize revenue.</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7" w:right="339" w:bottom="1440" w:gutter="0" w:footer="0" w:header="0"/>
        </w:sectPr>
      </w:pPr>
    </w:p>
    <w:bookmarkStart w:id="10" w:name="page11"/>
    <w:bookmarkEnd w:id="10"/>
    <w:p>
      <w:pPr>
        <w:jc w:val="both"/>
        <w:ind w:left="380"/>
        <w:spacing w:after="0" w:line="277" w:lineRule="auto"/>
        <w:rPr>
          <w:sz w:val="20"/>
          <w:szCs w:val="20"/>
          <w:color w:val="auto"/>
        </w:rPr>
      </w:pPr>
      <w:r>
        <w:rPr>
          <w:rFonts w:ascii="Arial" w:cs="Arial" w:eastAsia="Arial" w:hAnsi="Arial"/>
          <w:sz w:val="18"/>
          <w:szCs w:val="18"/>
          <w:color w:val="auto"/>
        </w:rPr>
        <w:t>The following tables present changes in our contract assets and liabilities during the three and six months ended June 30, 2023 and 2022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0"/>
              </w:rPr>
              <w:t>Recognized In</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98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Advance of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r>
      <w:tr>
        <w:trPr>
          <w:trHeight w:val="241"/>
        </w:trPr>
        <w:tc>
          <w:tcPr>
            <w:tcW w:w="4980" w:type="dxa"/>
            <w:vAlign w:val="bottom"/>
          </w:tcPr>
          <w:p>
            <w:pPr>
              <w:spacing w:after="0"/>
              <w:rPr>
                <w:sz w:val="20"/>
                <w:szCs w:val="20"/>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of Period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Billings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Billings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Period</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7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3,483</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(1,283 )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4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3,175</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(1,260 )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140" w:type="dxa"/>
            <w:vAlign w:val="bottom"/>
            <w:shd w:val="clear" w:color="auto" w:fill="CFF0FC"/>
          </w:tcPr>
          <w:p>
            <w:pPr>
              <w:spacing w:after="0"/>
              <w:rPr>
                <w:sz w:val="21"/>
                <w:szCs w:val="21"/>
                <w:color w:val="auto"/>
              </w:rPr>
            </w:pPr>
          </w:p>
        </w:tc>
      </w:tr>
      <w:tr>
        <w:trPr>
          <w:trHeight w:val="481"/>
        </w:trPr>
        <w:tc>
          <w:tcPr>
            <w:tcW w:w="4980" w:type="dxa"/>
            <w:vAlign w:val="bottom"/>
          </w:tcPr>
          <w:p>
            <w:pPr>
              <w:spacing w:after="0"/>
              <w:rPr>
                <w:sz w:val="24"/>
                <w:szCs w:val="2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980" w:type="dxa"/>
            <w:vAlign w:val="bottom"/>
          </w:tcPr>
          <w:p>
            <w:pPr>
              <w:spacing w:after="0"/>
              <w:rPr>
                <w:sz w:val="18"/>
                <w:szCs w:val="18"/>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r>
      <w:tr>
        <w:trPr>
          <w:trHeight w:val="241"/>
        </w:trPr>
        <w:tc>
          <w:tcPr>
            <w:tcW w:w="4980" w:type="dxa"/>
            <w:vAlign w:val="bottom"/>
          </w:tcPr>
          <w:p>
            <w:pPr>
              <w:spacing w:after="0"/>
              <w:rPr>
                <w:sz w:val="20"/>
                <w:szCs w:val="20"/>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of Period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Billings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Period</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 2023</w:t>
            </w:r>
          </w:p>
        </w:tc>
        <w:tc>
          <w:tcPr>
            <w:tcW w:w="70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3,796</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2,330</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(1,767 )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14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June 30, 2022</w:t>
            </w: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3,300</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2,052</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(1,819 )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FF0FC"/>
          </w:tcPr>
          <w:p>
            <w:pPr>
              <w:spacing w:after="0"/>
              <w:rPr>
                <w:sz w:val="21"/>
                <w:szCs w:val="21"/>
                <w:color w:val="auto"/>
              </w:rPr>
            </w:pPr>
          </w:p>
        </w:tc>
      </w:tr>
      <w:tr>
        <w:trPr>
          <w:trHeight w:val="427"/>
        </w:trPr>
        <w:tc>
          <w:tcPr>
            <w:tcW w:w="4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 In</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Beginning 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Advance of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r>
      <w:tr>
        <w:trPr>
          <w:trHeight w:val="241"/>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Billings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Billings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End of Period</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7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8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280" w:type="dxa"/>
            <w:vAlign w:val="bottom"/>
            <w:shd w:val="clear" w:color="auto" w:fill="CFF0FC"/>
          </w:tcPr>
          <w:p>
            <w:pPr>
              <w:spacing w:after="0"/>
              <w:rPr>
                <w:sz w:val="21"/>
                <w:szCs w:val="2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(3,069 )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2,820</w:t>
            </w:r>
          </w:p>
        </w:tc>
        <w:tc>
          <w:tcPr>
            <w:tcW w:w="14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8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280" w:type="dxa"/>
            <w:vAlign w:val="bottom"/>
            <w:shd w:val="clear" w:color="auto" w:fill="CFF0FC"/>
          </w:tcPr>
          <w:p>
            <w:pPr>
              <w:spacing w:after="0"/>
              <w:rPr>
                <w:sz w:val="21"/>
                <w:szCs w:val="2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(2,658 )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140" w:type="dxa"/>
            <w:vAlign w:val="bottom"/>
            <w:shd w:val="clear" w:color="auto" w:fill="CFF0FC"/>
          </w:tcPr>
          <w:p>
            <w:pPr>
              <w:spacing w:after="0"/>
              <w:rPr>
                <w:sz w:val="21"/>
                <w:szCs w:val="21"/>
                <w:color w:val="auto"/>
              </w:rPr>
            </w:pPr>
          </w:p>
        </w:tc>
      </w:tr>
      <w:tr>
        <w:trPr>
          <w:trHeight w:val="481"/>
        </w:trPr>
        <w:tc>
          <w:tcPr>
            <w:tcW w:w="4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4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Beginning of</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r>
      <w:tr>
        <w:trPr>
          <w:trHeight w:val="241"/>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Billings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End of Period</w:t>
            </w: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7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w:t>
            </w:r>
          </w:p>
        </w:tc>
        <w:tc>
          <w:tcPr>
            <w:tcW w:w="280" w:type="dxa"/>
            <w:vAlign w:val="bottom"/>
            <w:shd w:val="clear" w:color="auto" w:fill="CFF0FC"/>
          </w:tcPr>
          <w:p>
            <w:pPr>
              <w:spacing w:after="0"/>
              <w:rPr>
                <w:sz w:val="21"/>
                <w:szCs w:val="2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(3,602 )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140" w:type="dxa"/>
            <w:vAlign w:val="bottom"/>
            <w:shd w:val="clear" w:color="auto" w:fill="CFF0FC"/>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8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3,740</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280" w:type="dxa"/>
            <w:vAlign w:val="bottom"/>
            <w:shd w:val="clear" w:color="auto" w:fill="CFF0FC"/>
          </w:tcPr>
          <w:p>
            <w:pPr>
              <w:spacing w:after="0"/>
              <w:rPr>
                <w:sz w:val="21"/>
                <w:szCs w:val="21"/>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(3,481 )</w:t>
            </w: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Remaining performance obligations represent the transaction prices from contracts for which work has not been performed or goods and services have not been delivered. We expect to recognize revenue on approximately 85% of the remaining deferred revenue over the next 12 months, with the remainder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jc w:val="both"/>
        <w:ind w:left="380"/>
        <w:spacing w:after="0" w:line="277" w:lineRule="auto"/>
        <w:rPr>
          <w:sz w:val="20"/>
          <w:szCs w:val="20"/>
          <w:color w:val="auto"/>
        </w:rPr>
      </w:pPr>
      <w:r>
        <w:rPr>
          <w:rFonts w:ascii="Arial" w:cs="Arial" w:eastAsia="Arial" w:hAnsi="Arial"/>
          <w:sz w:val="18"/>
          <w:szCs w:val="18"/>
          <w:color w:val="auto"/>
        </w:rPr>
        <w:t>recognized thereafter. As of June 30, 2023, the aggregate amount of the transaction prices allocated to remaining performance obligations for contracts with a duration greater than one year was $ 4.0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02" w:lineRule="exact"/>
        <w:rPr>
          <w:sz w:val="20"/>
          <w:szCs w:val="20"/>
          <w:color w:val="auto"/>
        </w:rPr>
      </w:pPr>
    </w:p>
    <w:p>
      <w:pPr>
        <w:jc w:val="both"/>
        <w:ind w:left="380"/>
        <w:spacing w:after="0" w:line="275" w:lineRule="auto"/>
        <w:rPr>
          <w:sz w:val="20"/>
          <w:szCs w:val="20"/>
          <w:color w:val="auto"/>
        </w:rPr>
      </w:pPr>
      <w:r>
        <w:rPr>
          <w:rFonts w:ascii="Arial" w:cs="Arial" w:eastAsia="Arial" w:hAnsi="Arial"/>
          <w:sz w:val="17"/>
          <w:szCs w:val="17"/>
          <w:color w:val="auto"/>
        </w:rPr>
        <w:t>The FASB Codification defines fair value and establishes a fair value hierarchy that prioritizes the inputs to valuation techniques used to measure fair value. The three levels of the fair value hierarchy under the FASB Codification are: Level 1 – valuations that are based on quoted prices (unadjusted) in active markets for identical assets or liabilities that the reporting entity has the ability to access at the measurement date; Level 2 – valuations that are based on quoted prices in markets that are not active or for which all significant inputs are observable, either directly or indirectly; and Level 3 – valuations that require inputs that are both significant to the fair value measurement and unobservable.</w:t>
      </w:r>
    </w:p>
    <w:p>
      <w:pPr>
        <w:spacing w:after="0" w:line="136"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Cash and cash equivalents, which primarily include money market mutual funds were $3.3 million and $11.7 million as of June 30, 2023 and December 31, 2022, respectively. Marketable securities, which primarily include U.S. Treasuries and corporate bonds, were $21.7 million and $17.2 million as of June 30, 2023 and December 31, 2022, respectively. Our assets and liabilities that are measured at fair value on a recurring basis included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0"/>
              </w:rPr>
              <w:t>Fair Value Measurement at June 30, 2023 Using:</w:t>
            </w:r>
          </w:p>
        </w:tc>
        <w:tc>
          <w:tcPr>
            <w:tcW w:w="1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1"/>
        </w:trPr>
        <w:tc>
          <w:tcPr>
            <w:tcW w:w="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Quoted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Prices in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Active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Markets for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Identical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3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Unobservable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tcPr>
          <w:p>
            <w:pPr>
              <w:jc w:val="right"/>
              <w:ind w:right="87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50"/>
        </w:trPr>
        <w:tc>
          <w:tcPr>
            <w:tcW w:w="1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(Level 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3"/>
              </w:rPr>
              <w:t>(Level 3)</w:t>
            </w:r>
          </w:p>
        </w:tc>
        <w:tc>
          <w:tcPr>
            <w:tcW w:w="1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09"/>
        </w:trPr>
        <w:tc>
          <w:tcPr>
            <w:tcW w:w="160" w:type="dxa"/>
            <w:vAlign w:val="bottom"/>
          </w:tcPr>
          <w:p>
            <w:pPr>
              <w:spacing w:after="0"/>
              <w:rPr>
                <w:sz w:val="18"/>
                <w:szCs w:val="18"/>
                <w:color w:val="auto"/>
              </w:rPr>
            </w:pPr>
          </w:p>
        </w:tc>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Money market funds (included in</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r>
      <w:tr>
        <w:trPr>
          <w:trHeight w:val="244"/>
        </w:trPr>
        <w:tc>
          <w:tcPr>
            <w:tcW w:w="160" w:type="dxa"/>
            <w:vAlign w:val="bottom"/>
          </w:tcPr>
          <w:p>
            <w:pPr>
              <w:spacing w:after="0"/>
              <w:rPr>
                <w:sz w:val="21"/>
                <w:szCs w:val="21"/>
                <w:color w:val="auto"/>
              </w:rPr>
            </w:pPr>
          </w:p>
        </w:tc>
        <w:tc>
          <w:tcPr>
            <w:tcW w:w="43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2,692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2,692</w:t>
            </w:r>
          </w:p>
        </w:tc>
        <w:tc>
          <w:tcPr>
            <w:tcW w:w="160" w:type="dxa"/>
            <w:vAlign w:val="bottom"/>
          </w:tcPr>
          <w:p>
            <w:pPr>
              <w:spacing w:after="0"/>
              <w:rPr>
                <w:sz w:val="21"/>
                <w:szCs w:val="21"/>
                <w:color w:val="auto"/>
              </w:rPr>
            </w:pPr>
          </w:p>
        </w:tc>
      </w:tr>
      <w:tr>
        <w:trPr>
          <w:trHeight w:val="237"/>
        </w:trPr>
        <w:tc>
          <w:tcPr>
            <w:tcW w:w="16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21,748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21,748</w:t>
            </w:r>
          </w:p>
        </w:tc>
        <w:tc>
          <w:tcPr>
            <w:tcW w:w="160" w:type="dxa"/>
            <w:vAlign w:val="bottom"/>
          </w:tcPr>
          <w:p>
            <w:pPr>
              <w:spacing w:after="0"/>
              <w:rPr>
                <w:sz w:val="20"/>
                <w:szCs w:val="20"/>
                <w:color w:val="auto"/>
              </w:rPr>
            </w:pPr>
          </w:p>
        </w:tc>
      </w:tr>
      <w:tr>
        <w:trPr>
          <w:trHeight w:val="243"/>
        </w:trPr>
        <w:tc>
          <w:tcPr>
            <w:tcW w:w="160" w:type="dxa"/>
            <w:vAlign w:val="bottom"/>
          </w:tcPr>
          <w:p>
            <w:pPr>
              <w:spacing w:after="0"/>
              <w:rPr>
                <w:sz w:val="21"/>
                <w:szCs w:val="21"/>
                <w:color w:val="auto"/>
              </w:rPr>
            </w:pPr>
          </w:p>
        </w:tc>
        <w:tc>
          <w:tcPr>
            <w:tcW w:w="43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Note receivable</w:t>
            </w: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2,663</w:t>
            </w:r>
          </w:p>
        </w:tc>
        <w:tc>
          <w:tcPr>
            <w:tcW w:w="1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24,440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27,103</w:t>
            </w:r>
          </w:p>
        </w:tc>
        <w:tc>
          <w:tcPr>
            <w:tcW w:w="16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16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Contingent acquisition payment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20"/>
                <w:szCs w:val="20"/>
                <w:color w:val="auto"/>
              </w:rPr>
            </w:pPr>
          </w:p>
        </w:tc>
      </w:tr>
      <w:tr>
        <w:trPr>
          <w:trHeight w:val="277"/>
        </w:trPr>
        <w:tc>
          <w:tcPr>
            <w:tcW w:w="160" w:type="dxa"/>
            <w:vAlign w:val="bottom"/>
          </w:tcPr>
          <w:p>
            <w:pPr>
              <w:spacing w:after="0"/>
              <w:rPr>
                <w:sz w:val="24"/>
                <w:szCs w:val="24"/>
                <w:color w:val="auto"/>
              </w:rPr>
            </w:pPr>
          </w:p>
        </w:tc>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812</w:t>
            </w: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812</w:t>
            </w:r>
          </w:p>
        </w:tc>
        <w:tc>
          <w:tcPr>
            <w:tcW w:w="160" w:type="dxa"/>
            <w:vAlign w:val="bottom"/>
          </w:tcPr>
          <w:p>
            <w:pPr>
              <w:spacing w:after="0"/>
              <w:rPr>
                <w:sz w:val="24"/>
                <w:szCs w:val="24"/>
                <w:color w:val="auto"/>
              </w:rPr>
            </w:pPr>
          </w:p>
        </w:tc>
      </w:tr>
      <w:tr>
        <w:trPr>
          <w:trHeight w:val="851"/>
        </w:trPr>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1"/>
        </w:trPr>
        <w:tc>
          <w:tcPr>
            <w:tcW w:w="160" w:type="dxa"/>
            <w:vAlign w:val="bottom"/>
            <w:tcBorders>
              <w:bottom w:val="single" w:sz="8" w:color="9A9A9A"/>
            </w:tcBorders>
          </w:tcPr>
          <w:p>
            <w:pPr>
              <w:spacing w:after="0"/>
              <w:rPr>
                <w:sz w:val="8"/>
                <w:szCs w:val="8"/>
                <w:color w:val="auto"/>
              </w:rPr>
            </w:pPr>
          </w:p>
        </w:tc>
        <w:tc>
          <w:tcPr>
            <w:tcW w:w="4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-1464945</wp:posOffset>
            </wp:positionV>
            <wp:extent cx="85725"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-1464945</wp:posOffset>
            </wp:positionV>
            <wp:extent cx="85725" cy="3429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-1464945</wp:posOffset>
            </wp:positionV>
            <wp:extent cx="85725" cy="342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34290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-650875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-633730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-650875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-633730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-650875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-633730</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60" w:type="dxa"/>
            <w:vAlign w:val="bottom"/>
            <w:gridSpan w:val="6"/>
          </w:tcPr>
          <w:p>
            <w:pPr>
              <w:ind w:left="140"/>
              <w:spacing w:after="0"/>
              <w:rPr>
                <w:sz w:val="20"/>
                <w:szCs w:val="20"/>
                <w:color w:val="auto"/>
              </w:rPr>
            </w:pPr>
            <w:r>
              <w:rPr>
                <w:rFonts w:ascii="Arial" w:cs="Arial" w:eastAsia="Arial" w:hAnsi="Arial"/>
                <w:sz w:val="18"/>
                <w:szCs w:val="18"/>
                <w:b w:val="1"/>
                <w:bCs w:val="1"/>
                <w:color w:val="auto"/>
                <w:w w:val="94"/>
              </w:rPr>
              <w:t>Fair Value Measurement at December 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1"/>
        </w:trPr>
        <w:tc>
          <w:tcPr>
            <w:tcW w:w="4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b w:val="1"/>
                <w:bCs w:val="1"/>
                <w:color w:val="auto"/>
              </w:rPr>
              <w:t>2022 Using:</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1"/>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Significant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Markets for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Identical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Observable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Unobservable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50"/>
        </w:trPr>
        <w:tc>
          <w:tcPr>
            <w:tcW w:w="4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(Level 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(Level 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(Level 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15"/>
        </w:trPr>
        <w:tc>
          <w:tcPr>
            <w:tcW w:w="4360" w:type="dxa"/>
            <w:vAlign w:val="bottom"/>
          </w:tcPr>
          <w:p>
            <w:pPr>
              <w:ind w:left="100"/>
              <w:spacing w:after="0"/>
              <w:rPr>
                <w:sz w:val="20"/>
                <w:szCs w:val="20"/>
                <w:color w:val="auto"/>
              </w:rPr>
            </w:pPr>
            <w:r>
              <w:rPr>
                <w:rFonts w:ascii="Arial" w:cs="Arial" w:eastAsia="Arial" w:hAnsi="Arial"/>
                <w:sz w:val="18"/>
                <w:szCs w:val="18"/>
                <w:color w:val="auto"/>
              </w:rPr>
              <w:t>Money market funds (included in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10,967</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10,967</w:t>
            </w:r>
          </w:p>
        </w:tc>
      </w:tr>
      <w:tr>
        <w:trPr>
          <w:trHeight w:val="250"/>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17,229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17,229</w:t>
            </w:r>
          </w:p>
        </w:tc>
      </w:tr>
      <w:tr>
        <w:trPr>
          <w:trHeight w:val="237"/>
        </w:trPr>
        <w:tc>
          <w:tcPr>
            <w:tcW w:w="4360" w:type="dxa"/>
            <w:vAlign w:val="bottom"/>
          </w:tcPr>
          <w:p>
            <w:pPr>
              <w:ind w:left="100"/>
              <w:spacing w:after="0"/>
              <w:rPr>
                <w:sz w:val="20"/>
                <w:szCs w:val="20"/>
                <w:color w:val="auto"/>
              </w:rPr>
            </w:pPr>
            <w:r>
              <w:rPr>
                <w:rFonts w:ascii="Arial" w:cs="Arial" w:eastAsia="Arial" w:hAnsi="Arial"/>
                <w:sz w:val="18"/>
                <w:szCs w:val="18"/>
                <w:color w:val="auto"/>
              </w:rPr>
              <w:t>Note receivable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2,601</w:t>
            </w: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28,196</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2,601</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30,797</w:t>
            </w:r>
          </w:p>
        </w:tc>
      </w:tr>
      <w:tr>
        <w:trPr>
          <w:trHeight w:val="479"/>
        </w:trPr>
        <w:tc>
          <w:tcPr>
            <w:tcW w:w="43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43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Contingent acquisition payment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812</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812</w:t>
            </w:r>
          </w:p>
        </w:tc>
      </w:tr>
      <w:tr>
        <w:trPr>
          <w:trHeight w:val="20"/>
        </w:trPr>
        <w:tc>
          <w:tcPr>
            <w:tcW w:w="4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37"/>
        </w:trPr>
        <w:tc>
          <w:tcPr>
            <w:tcW w:w="4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80" w:type="dxa"/>
            <w:vAlign w:val="bottom"/>
          </w:tcPr>
          <w:p>
            <w:pPr>
              <w:ind w:left="10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812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812</w:t>
            </w:r>
          </w:p>
        </w:tc>
      </w:tr>
      <w:tr>
        <w:trPr>
          <w:trHeight w:val="20"/>
        </w:trPr>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-187960</wp:posOffset>
            </wp:positionV>
            <wp:extent cx="9461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857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Our investments in marketable securities are classified as available-for-sale and are carried at fair value, with the unrealized gains and losses, net of tax, reported as a component of accumulated other comprehensive loss in stockholders' equity.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Marketable securities by security type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jc w:val="right"/>
              <w:ind w:right="1490"/>
              <w:spacing w:after="0"/>
              <w:rPr>
                <w:sz w:val="20"/>
                <w:szCs w:val="20"/>
                <w:color w:val="auto"/>
              </w:rPr>
            </w:pPr>
            <w:r>
              <w:rPr>
                <w:rFonts w:ascii="Arial" w:cs="Arial" w:eastAsia="Arial" w:hAnsi="Arial"/>
                <w:sz w:val="18"/>
                <w:szCs w:val="18"/>
                <w:b w:val="1"/>
                <w:bCs w:val="1"/>
                <w:color w:val="auto"/>
              </w:rPr>
              <w:t>June 30, 2023:</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Gross 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87"/>
              </w:rPr>
              <w:t>Gross Unrealized</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Amortized Cost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r>
      <w:tr>
        <w:trPr>
          <w:trHeight w:val="24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 and bonds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3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16,405</w:t>
            </w:r>
          </w:p>
        </w:tc>
        <w:tc>
          <w:tcPr>
            <w:tcW w:w="140" w:type="dxa"/>
            <w:vAlign w:val="bottom"/>
            <w:shd w:val="clear" w:color="auto" w:fill="CFF0FC"/>
          </w:tcPr>
          <w:p>
            <w:pPr>
              <w:spacing w:after="0"/>
              <w:rPr>
                <w:sz w:val="21"/>
                <w:szCs w:val="2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5,386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190"/>
              <w:spacing w:after="0"/>
              <w:rPr>
                <w:sz w:val="20"/>
                <w:szCs w:val="20"/>
                <w:color w:val="auto"/>
              </w:rPr>
            </w:pPr>
            <w:r>
              <w:rPr>
                <w:rFonts w:ascii="Arial" w:cs="Arial" w:eastAsia="Arial" w:hAnsi="Arial"/>
                <w:sz w:val="18"/>
                <w:szCs w:val="18"/>
                <w:color w:val="auto"/>
              </w:rPr>
              <w:t>(43 )</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5,343</w:t>
            </w:r>
          </w:p>
        </w:tc>
        <w:tc>
          <w:tcPr>
            <w:tcW w:w="140" w:type="dxa"/>
            <w:vAlign w:val="bottom"/>
          </w:tcPr>
          <w:p>
            <w:pPr>
              <w:spacing w:after="0"/>
              <w:rPr>
                <w:sz w:val="20"/>
                <w:szCs w:val="20"/>
                <w:color w:val="auto"/>
              </w:rPr>
            </w:pPr>
          </w:p>
        </w:tc>
      </w:tr>
      <w:tr>
        <w:trPr>
          <w:trHeight w:val="236"/>
        </w:trPr>
        <w:tc>
          <w:tcPr>
            <w:tcW w:w="36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21,839</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21,748</w:t>
            </w:r>
          </w:p>
        </w:tc>
        <w:tc>
          <w:tcPr>
            <w:tcW w:w="140" w:type="dxa"/>
            <w:vAlign w:val="bottom"/>
          </w:tcPr>
          <w:p>
            <w:pPr>
              <w:spacing w:after="0"/>
              <w:rPr>
                <w:sz w:val="20"/>
                <w:szCs w:val="20"/>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5"/>
          </w:tcPr>
          <w:p>
            <w:pPr>
              <w:jc w:val="right"/>
              <w:ind w:right="129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1"/>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Gross 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87"/>
              </w:rPr>
              <w:t>Gross Unrealized</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Amortized Cost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r>
      <w:tr>
        <w:trPr>
          <w:trHeight w:val="24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 and bonds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13,389</w:t>
            </w:r>
          </w:p>
        </w:tc>
        <w:tc>
          <w:tcPr>
            <w:tcW w:w="3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13,313</w:t>
            </w:r>
          </w:p>
        </w:tc>
        <w:tc>
          <w:tcPr>
            <w:tcW w:w="140" w:type="dxa"/>
            <w:vAlign w:val="bottom"/>
            <w:shd w:val="clear" w:color="auto" w:fill="CFF0FC"/>
          </w:tcPr>
          <w:p>
            <w:pPr>
              <w:spacing w:after="0"/>
              <w:rPr>
                <w:sz w:val="21"/>
                <w:szCs w:val="21"/>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3,950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19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3,916</w:t>
            </w:r>
          </w:p>
        </w:tc>
        <w:tc>
          <w:tcPr>
            <w:tcW w:w="140" w:type="dxa"/>
            <w:vAlign w:val="bottom"/>
          </w:tcPr>
          <w:p>
            <w:pPr>
              <w:spacing w:after="0"/>
              <w:rPr>
                <w:sz w:val="20"/>
                <w:szCs w:val="20"/>
                <w:color w:val="auto"/>
              </w:rPr>
            </w:pPr>
          </w:p>
        </w:tc>
      </w:tr>
      <w:tr>
        <w:trPr>
          <w:trHeight w:val="236"/>
        </w:trPr>
        <w:tc>
          <w:tcPr>
            <w:tcW w:w="36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140" w:type="dxa"/>
            <w:vAlign w:val="bottom"/>
          </w:tcPr>
          <w:p>
            <w:pPr>
              <w:spacing w:after="0"/>
              <w:rPr>
                <w:sz w:val="20"/>
                <w:szCs w:val="20"/>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The investment in the Note Receivable ("Note") with Omlis Limited ("Omlis"), a limited company incorporated and registered in England and Wales and the parent of MIRCAL Technologies Limited ("MIRACL"), and the total carrying value of the investment of $2.7 million and $2.6 million is representative of the fair value of the investment as of June 30, 2023 and December 31, 2022, respectively. During the three and six months ended June 30, 2023 and for the year ended December, 31, 2022, there were no changes in the underlying assumptions of the Note. The change in fair value during the three and six months ended June 30 2023 and for the year ended December 31, 2022 was the result of accrued interest.</w:t>
      </w:r>
    </w:p>
    <w:p>
      <w:pPr>
        <w:spacing w:after="0" w:line="161"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In December 2021, we acquired 100% of the outstanding shares and acquired all of the assets and liabilities of FortressID for a purchase price of $3.4 million, which consisted of $2.5 million of cash consideration and contingent acquisition payments which were fair valued at $0.9 million at the acquisition date. The maximum contingent acquisition payments at the time of the acquisition was $4.0 million and required cash payments of up to $2.0 million for set revenue targets in 2022 and another $2.0 million for set revenue targets in 2023. No revenue targets were achieved in 2022 and the maximum contingent acquisition payment as of June 30, 2023 is $2.0 million. The fair value of our contingent acquisition payment was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 w:name="page14"/>
    <w:bookmarkEnd w:id="13"/>
    <w:p>
      <w:pPr>
        <w:ind w:left="380"/>
        <w:spacing w:after="0" w:line="277" w:lineRule="auto"/>
        <w:rPr>
          <w:sz w:val="20"/>
          <w:szCs w:val="20"/>
          <w:color w:val="auto"/>
        </w:rPr>
      </w:pPr>
      <w:r>
        <w:rPr>
          <w:rFonts w:ascii="Arial" w:cs="Arial" w:eastAsia="Arial" w:hAnsi="Arial"/>
          <w:sz w:val="18"/>
          <w:szCs w:val="18"/>
          <w:color w:val="auto"/>
        </w:rPr>
        <w:t xml:space="preserve">determined using a Monte Carlo simulation and there was no material change in fair value from December 31, 2022 to June 30, 2023 due to no change in forecasted revenue and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impact from the present value factor.</w:t>
      </w:r>
    </w:p>
    <w:p>
      <w:pPr>
        <w:spacing w:after="0" w:line="170"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w w:val="97"/>
              </w:rPr>
              <w:t>Changes in the Note receivable balance consisted of the following (in thousands):</w:t>
            </w:r>
          </w:p>
        </w:tc>
        <w:tc>
          <w:tcPr>
            <w:tcW w:w="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12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80" w:type="dxa"/>
            <w:vAlign w:val="bottom"/>
            <w:shd w:val="clear" w:color="auto" w:fill="CFF0FC"/>
          </w:tcPr>
          <w:p>
            <w:pPr>
              <w:spacing w:after="0"/>
              <w:rPr>
                <w:sz w:val="21"/>
                <w:szCs w:val="21"/>
                <w:color w:val="auto"/>
              </w:rPr>
            </w:pPr>
          </w:p>
        </w:tc>
      </w:tr>
      <w:tr>
        <w:trPr>
          <w:trHeight w:val="237"/>
        </w:trPr>
        <w:tc>
          <w:tcPr>
            <w:tcW w:w="12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r>
      <w:tr>
        <w:trPr>
          <w:trHeight w:val="277"/>
        </w:trPr>
        <w:tc>
          <w:tcPr>
            <w:tcW w:w="1260" w:type="dxa"/>
            <w:vAlign w:val="bottom"/>
          </w:tcPr>
          <w:p>
            <w:pPr>
              <w:spacing w:after="0"/>
              <w:rPr>
                <w:sz w:val="24"/>
                <w:szCs w:val="24"/>
                <w:color w:val="auto"/>
              </w:rPr>
            </w:pPr>
          </w:p>
        </w:tc>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2023</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-24765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and their estimated useful lives as of June 30, 2023 are as follows (dollars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Gross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Net Book</w:t>
            </w:r>
          </w:p>
        </w:tc>
      </w:tr>
      <w:tr>
        <w:trPr>
          <w:trHeight w:val="241"/>
        </w:trPr>
        <w:tc>
          <w:tcPr>
            <w:tcW w:w="3660" w:type="dxa"/>
            <w:vAlign w:val="bottom"/>
          </w:tcPr>
          <w:p>
            <w:pPr>
              <w:spacing w:after="0"/>
              <w:rPr>
                <w:sz w:val="20"/>
                <w:szCs w:val="20"/>
                <w:color w:val="auto"/>
              </w:rPr>
            </w:pPr>
          </w:p>
        </w:tc>
        <w:tc>
          <w:tcPr>
            <w:tcW w:w="21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Useful Life</w:t>
            </w: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4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and 10 years</w:t>
            </w: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2,680</w:t>
            </w: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2,111</w:t>
            </w: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Developed technology</w:t>
            </w:r>
          </w:p>
        </w:tc>
        <w:tc>
          <w:tcPr>
            <w:tcW w:w="2100" w:type="dxa"/>
            <w:vAlign w:val="bottom"/>
            <w:gridSpan w:val="3"/>
          </w:tcPr>
          <w:p>
            <w:pPr>
              <w:jc w:val="right"/>
              <w:ind w:right="310"/>
              <w:spacing w:after="0"/>
              <w:rPr>
                <w:sz w:val="20"/>
                <w:szCs w:val="20"/>
                <w:color w:val="auto"/>
              </w:rPr>
            </w:pPr>
            <w:r>
              <w:rPr>
                <w:rFonts w:ascii="Arial" w:cs="Arial" w:eastAsia="Arial" w:hAnsi="Arial"/>
                <w:sz w:val="18"/>
                <w:szCs w:val="18"/>
                <w:color w:val="auto"/>
              </w:rPr>
              <w:t>5 and 7 years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471</w:t>
            </w:r>
          </w:p>
        </w:tc>
      </w:tr>
      <w:tr>
        <w:trPr>
          <w:trHeight w:val="249"/>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name trademarks</w:t>
            </w:r>
          </w:p>
        </w:tc>
        <w:tc>
          <w:tcPr>
            <w:tcW w:w="18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and 7 years</w:t>
            </w: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r>
      <w:tr>
        <w:trPr>
          <w:trHeight w:val="230"/>
        </w:trPr>
        <w:tc>
          <w:tcPr>
            <w:tcW w:w="3660" w:type="dxa"/>
            <w:vAlign w:val="bottom"/>
          </w:tcPr>
          <w:p>
            <w:pPr>
              <w:spacing w:after="0"/>
              <w:rPr>
                <w:sz w:val="20"/>
                <w:szCs w:val="20"/>
                <w:color w:val="auto"/>
              </w:rPr>
            </w:pPr>
          </w:p>
        </w:tc>
        <w:tc>
          <w:tcPr>
            <w:tcW w:w="21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3,420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2,599</w:t>
            </w: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9461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spacing w:after="0" w:line="18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the three and six months ended June 30, 2023, we recorded $0.1 million and $0.2 million, respectively, of intangible assets amortization expense and during the three and six months ended June 30, 2022, we recorded $0.1 million and $0.2 million. respectively, of intangible assets amortization expense. We expect to record amortization expense for the remainder of 2023 and each subsequent year and thereafter as follows (in thousands):</w:t>
      </w:r>
    </w:p>
    <w:p>
      <w:pPr>
        <w:spacing w:after="0" w:line="228" w:lineRule="exact"/>
        <w:rPr>
          <w:sz w:val="20"/>
          <w:szCs w:val="20"/>
          <w:color w:val="auto"/>
        </w:rPr>
      </w:pPr>
    </w:p>
    <w:tbl>
      <w:tblPr>
        <w:tblLayout w:type="fixed"/>
        <w:tblInd w:w="2240" w:type="dxa"/>
        <w:tblCellMar>
          <w:top w:w="0" w:type="dxa"/>
          <w:left w:w="0" w:type="dxa"/>
          <w:bottom w:w="0" w:type="dxa"/>
          <w:right w:w="0" w:type="dxa"/>
        </w:tblCellMar>
      </w:tblP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Reminder of 2023</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415</w:t>
            </w: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356</w:t>
            </w: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858</w:t>
            </w:r>
          </w:p>
        </w:tc>
      </w:tr>
      <w:tr>
        <w:trPr>
          <w:trHeight w:val="276"/>
        </w:trPr>
        <w:tc>
          <w:tcPr>
            <w:tcW w:w="54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2,599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Subscription Agreement</w:t>
      </w:r>
    </w:p>
    <w:p>
      <w:pPr>
        <w:spacing w:after="0" w:line="229"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On March 11, 2022, concurrently with our entry into a mutual reseller arrangement with MIRACL Technologies Limited (“MIRACL”), we entered into a subscription agreement with Omlis Limited, a limited company incorporated and registered in England and Wales and the parent of MIRACL (“Omlis”). We purchased $2.5 million of Omlis’ Note Receivable (“Note”) that accrues interest at 5% annually with a maturity date of March 11, 2026.</w:t>
      </w:r>
    </w:p>
    <w:p>
      <w:pPr>
        <w:spacing w:after="0" w:line="21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Prior to maturity, we have the right to convert the Note into the securities issued in a future financing at a 20% discount from the price per share paid by the investors in that financing. If the Note remains outstanding on the maturity date, the Note shall, at the option of the holders of a majority of the outstanding Note, (i) be converted into the most senior shares in Omlis, (ii) be redeemed by payment in cash of the Note and all accrued but unpaid interest or (iii) remain outstanding.</w:t>
      </w:r>
    </w:p>
    <w:p>
      <w:pPr>
        <w:spacing w:after="0" w:line="18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In connection with the sale of the Note, Omlis granted us a right of first refusal for 18 months with respect to any proposed sale by Omlis of equity securities constituting 20% or more of the outstanding voting power of Omlis or all or substantially all of the assets of Omlis or any of its material subsidiaries. Also, in connection with the sale of the Note, Omlis issued the Company a warrant that expires on September 11, 2023, which allows us to purchase up to 8% of the total equity shares in Omlis at a price per share of $33.91.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left="520"/>
        <w:spacing w:after="0" w:line="255" w:lineRule="auto"/>
        <w:rPr>
          <w:sz w:val="20"/>
          <w:szCs w:val="20"/>
          <w:color w:val="auto"/>
        </w:rPr>
      </w:pPr>
      <w:r>
        <w:rPr>
          <w:rFonts w:ascii="Arial" w:cs="Arial" w:eastAsia="Arial" w:hAnsi="Arial"/>
          <w:sz w:val="18"/>
          <w:szCs w:val="18"/>
          <w:color w:val="auto"/>
        </w:rPr>
        <w:t xml:space="preserve">We recorded the Note and warrants at their fair values in accordance with ASC 825, Financial Instruments, for the Note and ASC 815, Derivatives and Hedging, for the warrants, which were $2.7 million and $0, respectively as of June 30, 2023. Interest income of $31 thousand and $62 thousand was earned during the three and six month periods ended June 30, 2023, respectively. Interest income of $31 thousand and $38 thousand was earned during the three and six month periods ended June 30, 2022, respectively. The $163 thousand in accrued interest is included in the fair value of the note as of June 30, 2023. We assigned a value of $0 to the warrant, since the value was deemed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was not an integral part of the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Computation of Earnings per Share</w:t>
      </w:r>
    </w:p>
    <w:p>
      <w:pPr>
        <w:spacing w:after="0" w:line="18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 Potential common stock equivalents were not included in the per share calculation for diluted earnings per share where we had a net loss and the effect of their inclusion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and Stock-based compensation</w:t>
      </w:r>
    </w:p>
    <w:p>
      <w:pPr>
        <w:spacing w:after="0" w:line="202"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following table presents stock-based compensation expenses included in our unaudited consolidated statements of operations and comprehensive loss (in thousands):</w:t>
      </w: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7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Six Months Ended</w:t>
            </w:r>
          </w:p>
        </w:tc>
      </w:tr>
      <w:tr>
        <w:trPr>
          <w:trHeight w:val="241"/>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r>
      <w:tr>
        <w:trPr>
          <w:trHeight w:val="239"/>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2022</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4"/>
              </w:rPr>
              <w:t>2022</w:t>
            </w:r>
          </w:p>
        </w:tc>
      </w:tr>
      <w:tr>
        <w:trPr>
          <w:trHeight w:val="241"/>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and other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176</w:t>
            </w:r>
          </w:p>
        </w:tc>
      </w:tr>
      <w:tr>
        <w:trPr>
          <w:trHeight w:val="24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541</w:t>
            </w:r>
          </w:p>
        </w:tc>
      </w:tr>
      <w:tr>
        <w:trPr>
          <w:trHeight w:val="277"/>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We did not grant stock options in the three or six months ended June 30, 2023 or 2022.</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i w:val="1"/>
          <w:iCs w:val="1"/>
          <w:color w:val="auto"/>
        </w:rPr>
        <w:t xml:space="preserve">Unrestricted Stock Grants - </w:t>
      </w:r>
      <w:r>
        <w:rPr>
          <w:rFonts w:ascii="Arial" w:cs="Arial" w:eastAsia="Arial" w:hAnsi="Arial"/>
          <w:sz w:val="18"/>
          <w:szCs w:val="18"/>
          <w:color w:val="auto"/>
        </w:rPr>
        <w:t>Our 2001 Nonqualified Stock Plan permits us to grant shares of unrestricted shares of stock to our directors,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Stock-based compensation expense for stock grants is determined based on the fair market value of our stock on the date of grant, provided the number of shares in the grant is fixed on the grant date.</w:t>
      </w:r>
    </w:p>
    <w:p>
      <w:pPr>
        <w:spacing w:after="0" w:line="143"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We did not grant any shares of unrestricted stock during the three months ended June 30, 2023. In the six months ended June 30, 2023 we granted an aggregate of 134,211 shares of unrestricted stock. Of the shares granted in the six months ended June 30, 2023, 67,105 shares were issued shortly after June 30, 2023 and the remaining shares are scheduled to be issued shortly after December 31, 2023, provided that the applicable each grantee is serving as a director, officer or employee as of that date.</w:t>
      </w:r>
    </w:p>
    <w:p>
      <w:pPr>
        <w:spacing w:after="0" w:line="160"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We did not grant any shares of unrestricted stock during the three months ended June 30, 2022. In the six months ended June 30, 2022 we granted an aggregate 107,921 shares of unrestricted stock. We issued 61,460 and 46,461 of these shares shortly after June 30, 2022 and December 31, 2022, respectively.</w:t>
      </w:r>
    </w:p>
    <w:p>
      <w:pPr>
        <w:spacing w:after="0" w:line="143"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i w:val="1"/>
          <w:iCs w:val="1"/>
          <w:color w:val="auto"/>
        </w:rPr>
        <w:t xml:space="preserve">Share Purchases </w:t>
      </w:r>
      <w:r>
        <w:rPr>
          <w:rFonts w:ascii="Arial" w:cs="Arial" w:eastAsia="Arial" w:hAnsi="Arial"/>
          <w:sz w:val="18"/>
          <w:szCs w:val="18"/>
          <w:color w:val="auto"/>
        </w:rPr>
        <w:t>- On March 1, 2022, our Board of Directors authorized a new stock repurchase program pursuant to which we may purchase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 million of our common stock, of which $1.7 million has been repurchased as of June 30, 2023. During the three and six months ended June 30, 2023 we purchased zero and 190,908 shares of our common stock, respectively. During the three and six months ended June 30, 2022 we did not purchase any shares of our common stock. The shares may be purchased from time to time in the open market or through privately negotiated transactions at management’s discretion,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jc w:val="both"/>
        <w:spacing w:after="0" w:line="296" w:lineRule="auto"/>
        <w:rPr>
          <w:sz w:val="20"/>
          <w:szCs w:val="20"/>
          <w:color w:val="auto"/>
        </w:rPr>
      </w:pPr>
      <w:r>
        <w:rPr>
          <w:rFonts w:ascii="Arial" w:cs="Arial" w:eastAsia="Arial" w:hAnsi="Arial"/>
          <w:sz w:val="16"/>
          <w:szCs w:val="16"/>
          <w:color w:val="auto"/>
        </w:rPr>
        <w:t>depending upon market conditions and other factors. The authorization to repurchase shares of our common stock expires on December 31, 2023. Repurchases will be made under the program using our own cash resources and will be in accordance with Rule 10b5-1 under the Securities Exchange Act of 1934, and other applicable laws, rules and regulations, which may permit repurchases to occur during periods when we might otherwise be precluded from making purchases under insider trading laws or company policy. The program does not obligate us to acquire any particular amount of common stock and the program may be modified or suspended at any time at our Board of Director’s discretion.</w:t>
      </w:r>
    </w:p>
    <w:p>
      <w:pPr>
        <w:spacing w:after="0" w:line="16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During the three and six months ended June 30, 2023 and 2022, we recorded no income tax benefits for the net operating losses incurred or for the research and development tax credits generated due to the uncertainty of realizing a benefit from those items.</w:t>
      </w:r>
    </w:p>
    <w:p>
      <w:pPr>
        <w:spacing w:after="0" w:line="143"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June 30, 2023 and December 31, 2022, we recorded a full valuation allowance against our net deferred tax assts.</w:t>
      </w:r>
    </w:p>
    <w:p>
      <w:pPr>
        <w:spacing w:after="0" w:line="147" w:lineRule="exact"/>
        <w:rPr>
          <w:sz w:val="20"/>
          <w:szCs w:val="20"/>
          <w:color w:val="auto"/>
        </w:rPr>
      </w:pPr>
    </w:p>
    <w:p>
      <w:pPr>
        <w:jc w:val="both"/>
        <w:ind w:left="380"/>
        <w:spacing w:after="0" w:line="293" w:lineRule="auto"/>
        <w:rPr>
          <w:sz w:val="20"/>
          <w:szCs w:val="20"/>
          <w:color w:val="auto"/>
        </w:rPr>
      </w:pPr>
      <w:r>
        <w:rPr>
          <w:rFonts w:ascii="Arial" w:cs="Arial" w:eastAsia="Arial" w:hAnsi="Arial"/>
          <w:sz w:val="16"/>
          <w:szCs w:val="16"/>
          <w:color w:val="auto"/>
        </w:rPr>
        <w:t>The carryback of the estimated loss would result in a refundable federal tax credit of approximately $1.4 million and an increase in research credit carryforwards previously utilized. The federal tax credit can be refunded in the future, as we decided to carry back the loss reported on the filed 2020 tax return. Upon filing our 2020 tax return and the related carry back claim that is on file with the IRS as of June 30, 2023, we classified the federal tax credit as a current receivable which has yet to be received as of June 30, 2023. Due to the recent loss history, continued investments in the Company, and our future projections of income, we will benefit from the 2020 loss to the extent of the available tax refund and will maintain a full valuation allowance on all other deferred tax assets, including any increase in research credit carryforward resulting from a potential carryback.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1780" w:firstLine="1845"/>
        <w:spacing w:after="0" w:line="522"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Cautionary Statement for Purposes of the “Safe Harbor” Provisions of the Private Securities Litigation Reform Act of 1995</w:t>
      </w:r>
    </w:p>
    <w:p>
      <w:pPr>
        <w:jc w:val="both"/>
        <w:spacing w:after="0" w:line="218" w:lineRule="exact"/>
        <w:rPr>
          <w:sz w:val="20"/>
          <w:szCs w:val="20"/>
          <w:color w:val="auto"/>
        </w:rPr>
      </w:pPr>
      <w:r>
        <w:rPr>
          <w:rFonts w:ascii="Arial" w:cs="Arial" w:eastAsia="Arial" w:hAnsi="Arial"/>
          <w:sz w:val="16"/>
          <w:szCs w:val="16"/>
          <w:i w:val="1"/>
          <w:iCs w:val="1"/>
          <w:color w:val="auto"/>
        </w:rPr>
        <w:t>Some of the information in this Quarterly Report on Form 10-Q contains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involve substantial risks and uncertainties. You can identify these statements by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information. However, we may not be able to predict future events accurately. The risk factors listed in this Quarterly Report on Form 10-Q and our Annual Report on Form 10-K for the year ended December 31, 2022, as well as any cautionary language in this Quarterly Report on Form 10-Q, provide examples of risks, uncertainties and events that may cause our actual results to differ materially from the expectations we describe in our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You should be aware that the occurrence of any of the events described in these risk factors and elsewhere in this Quarterly Report on Form 10-Q could materially and adversely affect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revenue and results of operations to summarize financial results as we believe these measurements are the most meaningful way to understand our operating performance.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and operating loss for the three months ended June 30, 2023 were $3.2 million and $2.9 million, respectively. These results compared to revenue of $4.2 million and operating loss of $1.4 million for the three months ended June 30, 2022. The decrease in revenue and the increase in operating loss in the current three month period was primarily due to a decrease in software license revenue.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and operating loss for the six months ended June 30, 2023 were $7.5 million and $4.8 million, respectively. These results compared to revenue of $8.9 million and operating loss of $2.6 million for the six months ended June 30, 2022. The decrease in revenue and the increase in operating loss in the current six month period was primarily due to a decrease in software license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These and all other financial results are discussed in more detail in the results of operations section that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ability to win proposals to supply software for biometrics systems projects either directly to end user customers or indirectly through channel partners.</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Software license revenue decreased 49% from $2.0 million in the three months ended June 30, 2022 to $1.0 million in the same three month period in 2023. As a percentage of total revenue, software license revenue decreased from 48% in the second quarter of 2022 to 33% in the current year quarter. The $1.0 million decrease in software license revenue was due primarily to a decrease in perpetual licenses sales which historically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fluctuate and we expect software license revenue to continue to fluctuate since they are based on the timing of projects with our customers and partners.</w:t>
      </w:r>
    </w:p>
    <w:p>
      <w:pPr>
        <w:spacing w:after="0" w:line="2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Software license revenue decreased 32% from $4.6 million in the six months ended June 30, 2022 to $3.1 million in the same six month period in 2023. As a percentage of total revenue, software license revenue decreased from 52% in the six months ended June 30, 2022 to 42% in the current year period. The $1.5 million decrease in software license revenue was due primarily to a decrease in perpetual licenses sales which historically fluctuate and we expect software license revenue to continue to fluctuate since they are based on the timing of projects with our customers and partners.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market strategy is to continue to focus on our legacy government biometrics markets and expand into new commercial biometrics markets. We are unable to predict future revenue from commercial markets as these are emerging markets.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maintenance revenue was $1.8 million in each of the three months ended June 30, 2023 and 2022. As a percentage of total revenue, software maintenance revenue increased from 43% in the second quarter of 2022 to 55% in the current year quarter.</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Software maintenance revenue increased 3% from $3.5 million in the six months ended June 30, 2022 to $3.6 million in the same six month period in 2023. As a percentage of total revenue, software maintenance revenue increased from 39% in the six months ended June 30, 2022 to 48% in the current year period.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 period ended June 30 2023, the increase in software maintenance revenue was primarily due to software maintenance related to our subscription based licenses.</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Services and other 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revenue consists of fees we charge to perform software development, integration, installation, and customization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Similar to software license revenue, services revenue depends on our ability to win biometrics systems projects either directly with end user customers or in conjunction with channel partners. Other revenue consists of hardware fees that are included with some of our software licenses. Services and other revenue will fluctuate when we commence new projects and/or when we complete projects that were started in previous periods.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and other revenue was $0.4 million in each of the three months ended June 30, 2023 and 2022 and 12% and 9% of total revenue in each three months ended June 30, 2023 and 2022, respectively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Services and other revenue decreased 7% from $0.8 million in the six months ended June 30, 2022 to $0.7 million in the same six month period in 2023. As a percentage of total revenue, services and other revenue increased from 9% of total revenue in the six months ended June 30, 2022 to 10% in the current year period.</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Cost of services and other revenue. </w:t>
      </w:r>
      <w:r>
        <w:rPr>
          <w:rFonts w:ascii="Arial" w:cs="Arial" w:eastAsia="Arial" w:hAnsi="Arial"/>
          <w:sz w:val="17"/>
          <w:szCs w:val="17"/>
          <w:color w:val="auto"/>
        </w:rPr>
        <w:t>Cost of services and other revenue consists primarily of engineering costs to perform customer services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third-party costs that are included with some of our software licenses. Such costs primarily include: i) engineering salaries, stock-based compensation, fringe benefits, and facilities; ii) engineering consultants and contractors; iii) software license fees; and iv) hardware costs.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and other revenue was $0.3 million in each of the three months ended June 30, 2023 and 2022. Cost of services and other revenue as a percentage of services and other revenue increased from 81% in the second quarter of 2022 to 86% in the current year quarter.</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services and other revenue was $0.6 million in each of the six months ended June 30, 2023 and 2022. Cost of services and other revenue as a percentage of services and other revenue increased from 79% in the six months ended June 30, 2022 to 84% in the current year period.</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cost of services and other revenue as a percentage of services and other revenue was primarily due to lower service and other revenue resulting from less active contracts with services during the period.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margins on services and other revenue are a function of: i) the nature of the projects; ii) the level of engineering difficulty and labor hours required to complete project tasks; and iii) how much we were able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charge. We expect that gross margins on services and other revenue will continue to fluctuate in future periods based on the nature, complexity, and pricing of future projects.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other revenue, and are not included in research and development expense.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The classification of total engineering costs to research and development expense and cost of services and other revenue was (in thousands):</w:t>
      </w:r>
    </w:p>
    <w:p>
      <w:pPr>
        <w:spacing w:after="0" w:line="27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8"/>
                <w:szCs w:val="18"/>
                <w:color w:val="auto"/>
              </w:rPr>
            </w:pPr>
          </w:p>
        </w:tc>
        <w:tc>
          <w:tcPr>
            <w:tcW w:w="18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3"/>
              </w:rPr>
              <w:t>Six Months Ended</w:t>
            </w:r>
          </w:p>
        </w:tc>
      </w:tr>
      <w:tr>
        <w:trPr>
          <w:trHeight w:val="241"/>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r>
      <w:tr>
        <w:trPr>
          <w:trHeight w:val="239"/>
        </w:trPr>
        <w:tc>
          <w:tcPr>
            <w:tcW w:w="3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2022</w:t>
            </w:r>
          </w:p>
        </w:tc>
      </w:tr>
      <w:tr>
        <w:trPr>
          <w:trHeight w:val="241"/>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2,265</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4,646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4,653</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Cost of services and other revenue</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r>
      <w:tr>
        <w:trPr>
          <w:trHeight w:val="276"/>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engineering costs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2,590</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5,269</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engineering costs were $2.6 million in each of the three months ended June 30, 2023 and 2022. As a percentage of total revenue, total engineering costs increased from 60% in the three months ended June 30, 2022 to 81% in the same current year quarter in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engineering costs were $5.3 million in each of the six months ended June 30, 2023 and 2022. As a percentage of total revenue, total engineering costs increased from 59% in the six months ended June 30, 2022 to 70% in the same current year period in 2023.</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continue to focus our future research and development activities on enhancing our existing products and developing new products with our growing internal resources.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 increased 38% from $1.4 million in the three months ended June 30, 2022 to $2.0 million in the same three month period of 2023. As a percentage of total revenue, selling and marketing expense increased from 38% in the second quarter of 2022 to 49% in the corresponding period in 2023.</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expense increased 24% from $3.2 million in the six months ended June 30, 2022 to $3.9 million in the same six month period of 2023. As a percentage of total revenue, selling and marketing expense increased from 36% in the six months ended June 30, 2022 to 53% in the corresponding period in 2023.</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spending increase for the three and six months ended June 30, 2023, compared to the same prior year period was primarily due to higher employee costs as a result of increased headcount and contracted sales agents.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expect to expand our sales and marketing force to address additional opportunities.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 was $1.6 million for each of the three months ended June 30, 2023 and 2022. As a percentage of total revenue, general and administrative was 38% in the second quarter of 2022 and 49% in the corresponding period of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General and administrative expense was $3.1 million for each of the six months ended June 30, 2023 and 2022. As a percentage of total revenue, general and administrative was 35% in the six months ended June 30, 2022 and 41% in the corresponding period of 2023.</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 to increase in absolute dollars, but to generally decrease as a percentage of net revenues, while fluctuating depending on specific activities in a period.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increased from $0.1 million in the three months ended June 30, 2022 to $0.3 million in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from $0.1 million in the six months ended June 30, 2022 to $0.6 million in the six months ended June 30, 2023.</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dollar increase in interest income was primarily due to higher interest rates related to our marketable securities of U.S Treasury notes and corporate bonds during the three and six months ended June 30, 2023, as well as higher interest rates within our money market accounts.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We had no income tax benefit for the three and six months ended June 31, 2023 and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(CARES Act) was signed into law on March 27, 2020. The Act contained specific relief and stimulus measures including allowing net operating losses originating in 2018 through 2020 to be carried back five years to offset taxable income in the carryback period.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Separately, the enactment of the Tax Cut and Jobs Act in 2017 allowed taxpayers to claim a refund for federal tax credits over a period of years. The CARES Act enacted during the first quarter allows for the entire amount of the credit to be refunded.</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reviewed the impact of the CARES Act enactment on the income tax provision and have determined that, as a result of the net operating loss carryback provision, we can obtain a tax benefit if we were to carry back the 2020 net operating loss to the five year carryback period.</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carryback of the estimated loss would result in a refundable federal tax credit of approximately $1.5 million and an increase in research credit carryforwards previously utilized. The federal tax credit can be refunded in the future, as we decided to carry back the loss reported on the filed 2020 tax return. Upon filing our 2020 tax return and the related carry back claim that is on file with the IRS as of June 30, 2023 we classified the federal tax credit as a current receivable which has yet to be received as of June 30, 2023. Due to the recent loss history, continued investments in the Company, and our future projections of income, we will benefit from the 2020 loss to the extent of the available tax refund and will maintain a full valuation allowance on all other deferred tax assets, including any increase in research credit carryforward resulting from a potential carryback.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maintained a full valuation allowance against our net deferred tax assets as of June 30, 2023 and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we had cash, cash equivalents and marketable securities of $25.1 million, which represented a decrease of $3.9 million from December 31, 2022. The decrease in cash, cash equivalents and marketable securities was primarily due to the impact of $3.6 million of cash used in operating activities and $0.3 million of cash for repurchases of our common stock.</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 from the date of this filing and to meet our known long-term cash requirements. Whether these resources are adequate to meet our liquidity needs beyond that period will depend on our future growth, operating results, and the investments needed to support our operations. If we require additional capital resources, we may utilize available funds or additional external financing.</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inflation has not had a material impact on our financial results. There can be no assurance, however, that inflation will not adversely affect our financial results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Consolidated Financial Statements in Item 1.</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material to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Investing in our common stock involves a high degree of risk. Our Annual Report on Form 10-K for the year ended December 31, 2022 includes a detailed discussion of our risk factors under the heading “Part I, Item 1A—Risk Factors.” There have been no material changes from such risk factors during the three months ended June 30, 2023. You should consider carefully the risk factors discussed in our Annual Report on Form 10-K for the year ended December 31, 2022, and all other information contained in or incorporated by reference in this Quarterly Report on Form 10-Q before making an investment decision. If any of the risks discussed in the Annual Report on Form 10-K or herein actually occur, they may materially harm our business, financial condition, operating results, cash flows or growth prospects. As a result, the market price of our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3, 2022, we announced that our board of directors had approved the repurchase of up to $10,000,000 of our common stock from time to time through December 31, 2023. During the three and six months ended June 30, 2023 we purchased 0 and 190,908 shares under this plan,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dollar value of shares that may be purchased under the plan is $8,347,113.</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9400" w:type="dxa"/>
            <w:vAlign w:val="bottom"/>
            <w:gridSpan w:val="6"/>
          </w:tcPr>
          <w:p>
            <w:pPr>
              <w:ind w:left="328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660" w:type="dxa"/>
            <w:vAlign w:val="bottom"/>
          </w:tcPr>
          <w:p>
            <w:pPr>
              <w:spacing w:after="0"/>
              <w:rPr>
                <w:sz w:val="20"/>
                <w:szCs w:val="20"/>
                <w:color w:val="auto"/>
              </w:rPr>
            </w:pPr>
            <w:r>
              <w:rPr>
                <w:rFonts w:ascii="Arial" w:cs="Arial" w:eastAsia="Arial" w:hAnsi="Arial"/>
                <w:sz w:val="18"/>
                <w:szCs w:val="18"/>
                <w:b w:val="1"/>
                <w:bCs w:val="1"/>
                <w:i w:val="1"/>
                <w:iCs w:val="1"/>
                <w:color w:val="auto"/>
              </w:rPr>
              <w:t>(a) Exhibits</w:t>
            </w:r>
          </w:p>
        </w:tc>
        <w:tc>
          <w:tcPr>
            <w:tcW w:w="4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660" w:type="dxa"/>
            <w:vAlign w:val="bottom"/>
          </w:tcPr>
          <w:p>
            <w:pPr>
              <w:ind w:left="20"/>
              <w:spacing w:after="0"/>
              <w:rPr>
                <w:sz w:val="20"/>
                <w:szCs w:val="20"/>
                <w:color w:val="auto"/>
              </w:rPr>
            </w:pPr>
            <w:r>
              <w:rPr>
                <w:rFonts w:ascii="Arial" w:cs="Arial" w:eastAsia="Arial" w:hAnsi="Arial"/>
                <w:sz w:val="18"/>
                <w:szCs w:val="18"/>
                <w:color w:val="auto"/>
              </w:rPr>
              <w:t>Exhibit 3.1</w:t>
            </w:r>
          </w:p>
        </w:tc>
        <w:tc>
          <w:tcPr>
            <w:tcW w:w="9400" w:type="dxa"/>
            <w:vAlign w:val="bottom"/>
            <w:gridSpan w:val="6"/>
          </w:tcPr>
          <w:p>
            <w:pPr>
              <w:spacing w:after="0"/>
              <w:rPr>
                <w:rFonts w:ascii="Arial" w:cs="Arial" w:eastAsia="Arial" w:hAnsi="Arial"/>
                <w:sz w:val="18"/>
                <w:szCs w:val="18"/>
                <w:color w:val="0000FF"/>
                <w:w w:val="90"/>
              </w:rPr>
            </w:pPr>
            <w:hyperlink r:id="rId102">
              <w:r>
                <w:rPr>
                  <w:rFonts w:ascii="Arial" w:cs="Arial" w:eastAsia="Arial" w:hAnsi="Arial"/>
                  <w:sz w:val="18"/>
                  <w:szCs w:val="18"/>
                  <w:color w:val="0000FF"/>
                  <w:w w:val="90"/>
                </w:rPr>
                <w:t>Amended and Restated Articles of Organization, as amended (filed as Exhibit 3.1 to the Company’s Form 10-K for the year ended</w:t>
              </w:r>
            </w:hyperlink>
          </w:p>
        </w:tc>
      </w:tr>
      <w:tr>
        <w:trPr>
          <w:trHeight w:val="20"/>
        </w:trPr>
        <w:tc>
          <w:tcPr>
            <w:tcW w:w="166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400" w:type="dxa"/>
            <w:vAlign w:val="bottom"/>
            <w:gridSpan w:val="6"/>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December 31, 2008 and incorporated herein by reference).</w:t>
              </w:r>
            </w:hyperlink>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42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166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9400" w:type="dxa"/>
            <w:vAlign w:val="bottom"/>
            <w:gridSpan w:val="6"/>
          </w:tcPr>
          <w:p>
            <w:pPr>
              <w:spacing w:after="0"/>
              <w:rPr>
                <w:rFonts w:ascii="Arial" w:cs="Arial" w:eastAsia="Arial" w:hAnsi="Arial"/>
                <w:sz w:val="18"/>
                <w:szCs w:val="18"/>
                <w:color w:val="0000FF"/>
                <w:w w:val="98"/>
              </w:rPr>
            </w:pPr>
            <w:hyperlink r:id="rId103">
              <w:r>
                <w:rPr>
                  <w:rFonts w:ascii="Arial" w:cs="Arial" w:eastAsia="Arial" w:hAnsi="Arial"/>
                  <w:sz w:val="18"/>
                  <w:szCs w:val="18"/>
                  <w:color w:val="0000FF"/>
                  <w:w w:val="98"/>
                </w:rPr>
                <w:t>Amended and Restated By-Laws (filed as Exhibit 3.1 to the Company’s Form 8-K filed with the Securities and Exchange</w:t>
              </w:r>
            </w:hyperlink>
          </w:p>
        </w:tc>
      </w:tr>
      <w:tr>
        <w:trPr>
          <w:trHeight w:val="20"/>
        </w:trPr>
        <w:tc>
          <w:tcPr>
            <w:tcW w:w="1660" w:type="dxa"/>
            <w:vAlign w:val="bottom"/>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9400" w:type="dxa"/>
            <w:vAlign w:val="bottom"/>
            <w:gridSpan w:val="6"/>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Commission on December 10, 2007 and incorporated herein by reference).</w:t>
              </w:r>
            </w:hyperlink>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536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1660" w:type="dxa"/>
            <w:vAlign w:val="bottom"/>
          </w:tcPr>
          <w:p>
            <w:pPr>
              <w:ind w:left="20"/>
              <w:spacing w:after="0"/>
              <w:rPr>
                <w:sz w:val="20"/>
                <w:szCs w:val="20"/>
                <w:color w:val="auto"/>
              </w:rPr>
            </w:pPr>
            <w:r>
              <w:rPr>
                <w:rFonts w:ascii="Arial" w:cs="Arial" w:eastAsia="Arial" w:hAnsi="Arial"/>
                <w:sz w:val="18"/>
                <w:szCs w:val="18"/>
                <w:color w:val="auto"/>
              </w:rPr>
              <w:t>Exhibit 31.1</w:t>
            </w:r>
          </w:p>
        </w:tc>
        <w:tc>
          <w:tcPr>
            <w:tcW w:w="9400" w:type="dxa"/>
            <w:vAlign w:val="bottom"/>
            <w:gridSpan w:val="6"/>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71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1"/>
        </w:trPr>
        <w:tc>
          <w:tcPr>
            <w:tcW w:w="1660" w:type="dxa"/>
            <w:vAlign w:val="bottom"/>
          </w:tcPr>
          <w:p>
            <w:pPr>
              <w:ind w:left="20"/>
              <w:spacing w:after="0"/>
              <w:rPr>
                <w:sz w:val="20"/>
                <w:szCs w:val="20"/>
                <w:color w:val="auto"/>
              </w:rPr>
            </w:pPr>
            <w:r>
              <w:rPr>
                <w:rFonts w:ascii="Arial" w:cs="Arial" w:eastAsia="Arial" w:hAnsi="Arial"/>
                <w:sz w:val="18"/>
                <w:szCs w:val="18"/>
                <w:color w:val="auto"/>
              </w:rPr>
              <w:t>Exhibit 31.2</w:t>
            </w:r>
          </w:p>
        </w:tc>
        <w:tc>
          <w:tcPr>
            <w:tcW w:w="940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714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1660" w:type="dxa"/>
            <w:vAlign w:val="bottom"/>
          </w:tcPr>
          <w:p>
            <w:pPr>
              <w:ind w:left="20"/>
              <w:spacing w:after="0"/>
              <w:rPr>
                <w:sz w:val="20"/>
                <w:szCs w:val="20"/>
                <w:color w:val="auto"/>
              </w:rPr>
            </w:pPr>
            <w:r>
              <w:rPr>
                <w:rFonts w:ascii="Arial" w:cs="Arial" w:eastAsia="Arial" w:hAnsi="Arial"/>
                <w:sz w:val="18"/>
                <w:szCs w:val="18"/>
                <w:color w:val="auto"/>
              </w:rPr>
              <w:t>Exhibit 32.1</w:t>
            </w:r>
          </w:p>
        </w:tc>
        <w:tc>
          <w:tcPr>
            <w:tcW w:w="9400" w:type="dxa"/>
            <w:vAlign w:val="bottom"/>
            <w:gridSpan w:val="6"/>
          </w:tcPr>
          <w:p>
            <w:pPr>
              <w:spacing w:after="0"/>
              <w:rPr>
                <w:sz w:val="20"/>
                <w:szCs w:val="20"/>
                <w:color w:val="auto"/>
              </w:rPr>
            </w:pPr>
            <w:r>
              <w:rPr>
                <w:rFonts w:ascii="Arial" w:cs="Arial" w:eastAsia="Arial" w:hAnsi="Arial"/>
                <w:sz w:val="18"/>
                <w:szCs w:val="18"/>
                <w:color w:val="0000FF"/>
                <w:w w:val="93"/>
              </w:rPr>
              <w:t>Certification of Chief Executive Officer and Chief Financial Officer pursuant to Section 906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2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8"/>
        </w:trPr>
        <w:tc>
          <w:tcPr>
            <w:tcW w:w="166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400" w:type="dxa"/>
            <w:vAlign w:val="bottom"/>
            <w:gridSpan w:val="6"/>
          </w:tcPr>
          <w:p>
            <w:pPr>
              <w:spacing w:after="0"/>
              <w:rPr>
                <w:sz w:val="20"/>
                <w:szCs w:val="20"/>
                <w:color w:val="auto"/>
              </w:rPr>
            </w:pPr>
            <w:r>
              <w:rPr>
                <w:rFonts w:ascii="Arial" w:cs="Arial" w:eastAsia="Arial" w:hAnsi="Arial"/>
                <w:sz w:val="18"/>
                <w:szCs w:val="18"/>
                <w:color w:val="auto"/>
                <w:w w:val="96"/>
              </w:rPr>
              <w:t>The following financial statements from Aware, Inc.’s Quarterly Report on Form 10-Q for the quarter ended June 30, 2023,</w:t>
            </w:r>
          </w:p>
        </w:tc>
      </w:tr>
      <w:tr>
        <w:trPr>
          <w:trHeight w:val="216"/>
        </w:trPr>
        <w:tc>
          <w:tcPr>
            <w:tcW w:w="1660" w:type="dxa"/>
            <w:vAlign w:val="bottom"/>
          </w:tcPr>
          <w:p>
            <w:pPr>
              <w:spacing w:after="0"/>
              <w:rPr>
                <w:sz w:val="18"/>
                <w:szCs w:val="18"/>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w w:val="92"/>
              </w:rPr>
              <w:t>formatted in iXBRL (Inline eXtensible Business Reporting Language), as follows: i) Consolidated Balance Sheets as of June 30,</w:t>
            </w:r>
          </w:p>
        </w:tc>
      </w:tr>
      <w:tr>
        <w:trPr>
          <w:trHeight w:val="216"/>
        </w:trPr>
        <w:tc>
          <w:tcPr>
            <w:tcW w:w="1660" w:type="dxa"/>
            <w:vAlign w:val="bottom"/>
          </w:tcPr>
          <w:p>
            <w:pPr>
              <w:spacing w:after="0"/>
              <w:rPr>
                <w:sz w:val="18"/>
                <w:szCs w:val="18"/>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w w:val="90"/>
              </w:rPr>
              <w:t>2023 and December 31, 2022, ii) Consolidated Statements of Operations and Comprehensive Income (Loss) for the Three and Six</w:t>
            </w:r>
          </w:p>
        </w:tc>
      </w:tr>
      <w:tr>
        <w:trPr>
          <w:trHeight w:val="216"/>
        </w:trPr>
        <w:tc>
          <w:tcPr>
            <w:tcW w:w="1660" w:type="dxa"/>
            <w:vAlign w:val="bottom"/>
          </w:tcPr>
          <w:p>
            <w:pPr>
              <w:spacing w:after="0"/>
              <w:rPr>
                <w:sz w:val="18"/>
                <w:szCs w:val="18"/>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w w:val="91"/>
              </w:rPr>
              <w:t>Months Ended June 30, 2023 and 2022, iii) Consolidated Statements of Cash Flows for the Six Months Ended June 30, 2023 and</w:t>
            </w:r>
          </w:p>
        </w:tc>
      </w:tr>
      <w:tr>
        <w:trPr>
          <w:trHeight w:val="216"/>
        </w:trPr>
        <w:tc>
          <w:tcPr>
            <w:tcW w:w="1660" w:type="dxa"/>
            <w:vAlign w:val="bottom"/>
          </w:tcPr>
          <w:p>
            <w:pPr>
              <w:spacing w:after="0"/>
              <w:rPr>
                <w:sz w:val="18"/>
                <w:szCs w:val="18"/>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w w:val="92"/>
              </w:rPr>
              <w:t>2022, iv) Consolidated Statements of Stockholders’ Equity for the Three and Six Months Ended June 30, 2023 and 2022, and v)</w:t>
            </w:r>
          </w:p>
        </w:tc>
      </w:tr>
      <w:tr>
        <w:trPr>
          <w:trHeight w:val="230"/>
        </w:trPr>
        <w:tc>
          <w:tcPr>
            <w:tcW w:w="1660" w:type="dxa"/>
            <w:vAlign w:val="bottom"/>
          </w:tcPr>
          <w:p>
            <w:pPr>
              <w:spacing w:after="0"/>
              <w:rPr>
                <w:sz w:val="20"/>
                <w:szCs w:val="20"/>
                <w:color w:val="auto"/>
              </w:rPr>
            </w:pPr>
          </w:p>
        </w:tc>
        <w:tc>
          <w:tcPr>
            <w:tcW w:w="9400" w:type="dxa"/>
            <w:vAlign w:val="bottom"/>
            <w:gridSpan w:val="6"/>
          </w:tcPr>
          <w:p>
            <w:pPr>
              <w:spacing w:after="0"/>
              <w:rPr>
                <w:sz w:val="20"/>
                <w:szCs w:val="20"/>
                <w:color w:val="auto"/>
              </w:rPr>
            </w:pPr>
            <w:r>
              <w:rPr>
                <w:rFonts w:ascii="Arial" w:cs="Arial" w:eastAsia="Arial" w:hAnsi="Arial"/>
                <w:sz w:val="18"/>
                <w:szCs w:val="18"/>
                <w:color w:val="auto"/>
              </w:rPr>
              <w:t>Notes to Consolidated Financial Statements.</w:t>
            </w:r>
          </w:p>
        </w:tc>
      </w:tr>
      <w:tr>
        <w:trPr>
          <w:trHeight w:val="392"/>
        </w:trPr>
        <w:tc>
          <w:tcPr>
            <w:tcW w:w="166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9400" w:type="dxa"/>
            <w:vAlign w:val="bottom"/>
            <w:gridSpan w:val="6"/>
          </w:tcPr>
          <w:p>
            <w:pPr>
              <w:spacing w:after="0"/>
              <w:rPr>
                <w:sz w:val="20"/>
                <w:szCs w:val="20"/>
                <w:color w:val="auto"/>
              </w:rPr>
            </w:pPr>
            <w:r>
              <w:rPr>
                <w:rFonts w:ascii="Arial" w:cs="Arial" w:eastAsia="Arial" w:hAnsi="Arial"/>
                <w:sz w:val="18"/>
                <w:szCs w:val="18"/>
                <w:color w:val="auto"/>
                <w:w w:val="99"/>
              </w:rPr>
              <w:t>Inline XBRL for the cover page of this Quarterly Report on Form 10-Q, included in the Exhibit 101 Inline Document Set.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AWARE, INC.</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820" w:val="left"/>
          <w:tab w:leader="none" w:pos="564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23495</wp:posOffset>
            </wp:positionV>
            <wp:extent cx="31032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Robert A. Eckel</w:t>
      </w:r>
    </w:p>
    <w:p>
      <w:pPr>
        <w:spacing w:after="0" w:line="3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 &amp; President</w:t>
      </w:r>
    </w:p>
    <w:p>
      <w:pPr>
        <w:spacing w:after="0" w:line="279" w:lineRule="exact"/>
        <w:rPr>
          <w:sz w:val="20"/>
          <w:szCs w:val="20"/>
          <w:color w:val="auto"/>
        </w:rPr>
      </w:pPr>
    </w:p>
    <w:p>
      <w:pPr>
        <w:ind w:left="20"/>
        <w:spacing w:after="0"/>
        <w:tabs>
          <w:tab w:leader="none" w:pos="820" w:val="left"/>
          <w:tab w:leader="none" w:pos="564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B.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23495</wp:posOffset>
            </wp:positionV>
            <wp:extent cx="31032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David B. Barcelo</w:t>
      </w:r>
    </w:p>
    <w:p>
      <w:pPr>
        <w:spacing w:after="0" w:line="3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Robert A. Eckel, Chief Executive Officer &amp; President of Aware, Inc., certify that:</w:t>
      </w:r>
    </w:p>
    <w:p>
      <w:pPr>
        <w:spacing w:after="0" w:line="18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184" w:lineRule="exact"/>
        <w:rPr>
          <w:rFonts w:ascii="Arial" w:cs="Arial" w:eastAsia="Arial" w:hAnsi="Arial"/>
          <w:sz w:val="18"/>
          <w:szCs w:val="18"/>
          <w:color w:val="auto"/>
        </w:rPr>
      </w:pPr>
    </w:p>
    <w:p>
      <w:pPr>
        <w:ind w:left="520" w:right="12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ind w:left="520" w:right="320" w:hanging="512"/>
        <w:spacing w:after="0" w:line="342" w:lineRule="auto"/>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520" w:right="28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3" w:lineRule="exact"/>
        <w:rPr>
          <w:rFonts w:ascii="Arial" w:cs="Arial" w:eastAsia="Arial" w:hAnsi="Arial"/>
          <w:sz w:val="18"/>
          <w:szCs w:val="18"/>
          <w:color w:val="auto"/>
        </w:rPr>
      </w:pPr>
    </w:p>
    <w:p>
      <w:pPr>
        <w:ind w:left="1020" w:right="400" w:hanging="479"/>
        <w:spacing w:after="0" w:line="286" w:lineRule="auto"/>
        <w:tabs>
          <w:tab w:leader="none" w:pos="1380" w:val="left"/>
        </w:tabs>
        <w:numPr>
          <w:ilvl w:val="1"/>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8" w:lineRule="exact"/>
        <w:rPr>
          <w:rFonts w:ascii="Arial" w:cs="Arial" w:eastAsia="Arial" w:hAnsi="Arial"/>
          <w:sz w:val="17"/>
          <w:szCs w:val="17"/>
          <w:color w:val="auto"/>
        </w:rPr>
      </w:pPr>
    </w:p>
    <w:p>
      <w:pPr>
        <w:ind w:left="1020" w:right="80" w:hanging="479"/>
        <w:spacing w:after="0" w:line="263"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020" w:right="200" w:hanging="479"/>
        <w:spacing w:after="0" w:line="263"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8"/>
          <w:szCs w:val="18"/>
          <w:color w:val="auto"/>
        </w:rPr>
      </w:pPr>
    </w:p>
    <w:p>
      <w:pPr>
        <w:ind w:left="1020" w:right="240" w:hanging="479"/>
        <w:spacing w:after="0" w:line="263"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5" w:lineRule="exact"/>
        <w:rPr>
          <w:rFonts w:ascii="Arial" w:cs="Arial" w:eastAsia="Arial" w:hAnsi="Arial"/>
          <w:sz w:val="17"/>
          <w:szCs w:val="17"/>
          <w:color w:val="auto"/>
        </w:rPr>
      </w:pPr>
    </w:p>
    <w:p>
      <w:pPr>
        <w:ind w:left="1020" w:right="420" w:hanging="479"/>
        <w:spacing w:after="0" w:line="308" w:lineRule="auto"/>
        <w:tabs>
          <w:tab w:leader="none" w:pos="138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020" w:right="120" w:hanging="479"/>
        <w:spacing w:after="0" w:line="277"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6"/>
          <w:szCs w:val="16"/>
          <w:color w:val="auto"/>
        </w:rPr>
        <w:t>/s/ Robert A.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35579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A. Eckel</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18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David B. Barcelo, Chief Financial Officer of Aware, Inc., certify that:</w:t>
      </w:r>
    </w:p>
    <w:p>
      <w:pPr>
        <w:spacing w:after="0" w:line="185"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184" w:lineRule="exact"/>
        <w:rPr>
          <w:rFonts w:ascii="Arial" w:cs="Arial" w:eastAsia="Arial" w:hAnsi="Arial"/>
          <w:sz w:val="18"/>
          <w:szCs w:val="18"/>
          <w:color w:val="auto"/>
        </w:rPr>
      </w:pPr>
    </w:p>
    <w:p>
      <w:pPr>
        <w:ind w:left="520" w:right="12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ind w:left="520" w:right="320" w:hanging="512"/>
        <w:spacing w:after="0" w:line="342"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520" w:right="280" w:hanging="512"/>
        <w:spacing w:after="0" w:line="263"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3" w:lineRule="exact"/>
        <w:rPr>
          <w:rFonts w:ascii="Arial" w:cs="Arial" w:eastAsia="Arial" w:hAnsi="Arial"/>
          <w:sz w:val="18"/>
          <w:szCs w:val="18"/>
          <w:color w:val="auto"/>
        </w:rPr>
      </w:pPr>
    </w:p>
    <w:p>
      <w:pPr>
        <w:ind w:left="1020" w:right="400" w:hanging="479"/>
        <w:spacing w:after="0" w:line="286"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8" w:lineRule="exact"/>
        <w:rPr>
          <w:rFonts w:ascii="Arial" w:cs="Arial" w:eastAsia="Arial" w:hAnsi="Arial"/>
          <w:sz w:val="17"/>
          <w:szCs w:val="17"/>
          <w:color w:val="auto"/>
        </w:rPr>
      </w:pPr>
    </w:p>
    <w:p>
      <w:pPr>
        <w:ind w:left="1020" w:right="80" w:hanging="479"/>
        <w:spacing w:after="0" w:line="263"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020" w:right="200" w:hanging="479"/>
        <w:spacing w:after="0" w:line="263"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8"/>
          <w:szCs w:val="18"/>
          <w:color w:val="auto"/>
        </w:rPr>
      </w:pPr>
    </w:p>
    <w:p>
      <w:pPr>
        <w:ind w:left="1020" w:right="240" w:hanging="479"/>
        <w:spacing w:after="0" w:line="263"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5" w:lineRule="exact"/>
        <w:rPr>
          <w:rFonts w:ascii="Arial" w:cs="Arial" w:eastAsia="Arial" w:hAnsi="Arial"/>
          <w:sz w:val="17"/>
          <w:szCs w:val="17"/>
          <w:color w:val="auto"/>
        </w:rPr>
      </w:pPr>
    </w:p>
    <w:p>
      <w:pPr>
        <w:ind w:left="1020" w:right="420" w:hanging="479"/>
        <w:spacing w:after="0" w:line="308" w:lineRule="auto"/>
        <w:tabs>
          <w:tab w:leader="none" w:pos="138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020" w:right="120" w:hanging="479"/>
        <w:spacing w:after="0" w:line="277"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6"/>
          <w:szCs w:val="16"/>
          <w:color w:val="auto"/>
        </w:rPr>
        <w:t>/s/ David B.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23495</wp:posOffset>
            </wp:positionV>
            <wp:extent cx="3557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B. Barcelo</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June 30, 2023,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7" w:lineRule="exact"/>
        <w:rPr>
          <w:sz w:val="20"/>
          <w:szCs w:val="20"/>
          <w:color w:val="auto"/>
        </w:rPr>
      </w:pPr>
    </w:p>
    <w:p>
      <w:pPr>
        <w:ind w:left="1160" w:hanging="40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20" w:hanging="403"/>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Eckel</w:t>
            </w:r>
          </w:p>
        </w:tc>
        <w:tc>
          <w:tcPr>
            <w:tcW w:w="116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 Barcelo</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Chief Executive Officer &amp; President</w:t>
            </w:r>
          </w:p>
        </w:tc>
        <w:tc>
          <w:tcPr>
            <w:tcW w:w="11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85"/>
        </w:trPr>
        <w:tc>
          <w:tcPr>
            <w:tcW w:w="4480" w:type="dxa"/>
            <w:vAlign w:val="bottom"/>
          </w:tcPr>
          <w:p>
            <w:pPr>
              <w:ind w:left="20"/>
              <w:spacing w:after="0"/>
              <w:rPr>
                <w:sz w:val="20"/>
                <w:szCs w:val="20"/>
                <w:color w:val="auto"/>
              </w:rPr>
            </w:pPr>
            <w:r>
              <w:rPr>
                <w:rFonts w:ascii="Arial" w:cs="Arial" w:eastAsia="Arial" w:hAnsi="Arial"/>
                <w:sz w:val="18"/>
                <w:szCs w:val="18"/>
                <w:color w:val="auto"/>
              </w:rPr>
              <w:t>Date: August 2, 2023</w:t>
            </w:r>
          </w:p>
        </w:tc>
        <w:tc>
          <w:tcPr>
            <w:tcW w:w="116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Date: August 2, 2023</w:t>
            </w:r>
          </w:p>
        </w:tc>
      </w:tr>
    </w:tbl>
    <w:p>
      <w:pPr>
        <w:spacing w:after="0" w:line="215"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02" Type="http://schemas.openxmlformats.org/officeDocument/2006/relationships/hyperlink" Target="https://www.sec.gov/Archives/edgar/data/0001015739/000118811209000293/ex3-1.htm" TargetMode="External"/><Relationship Id="rId103" Type="http://schemas.openxmlformats.org/officeDocument/2006/relationships/hyperlink" Target="https://www.sec.gov/Archives/edgar/data/0001015739/00011881120700356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2023-08-02T15:16:22Z</dcterms:created>
  <dcterms:modified xsi:type="dcterms:W3CDTF">2023-08-02T15:16:22Z</dcterms:modified>
</cp:coreProperties>
</file>