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wre-20241231.htm"/>
      <w:bookmarkStart w:id="1" w:name="ksawre20241231"/>
      <w:bookmarkEnd w:id="0"/>
      <w:bookmarkEnd w:id="1"/>
      <w:r>
        <w:rPr/>
        <w:t> </w:t>
      </w:r>
    </w:p>
    <w:p>
      <w:pPr>
        <w:pStyle w:val="TextBody"/>
        <w:pBdr>
          <w:bottom w:val="double" w:sz="4" w:space="1" w:color="000000"/>
        </w:pBdr>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10-K</w:t>
      </w:r>
    </w:p>
    <w:tbl>
      <w:tblPr>
        <w:tblW w:w="6691" w:type="dxa"/>
        <w:jc w:val="left"/>
        <w:tblInd w:w="0" w:type="dxa"/>
        <w:tblLayout w:type="fixed"/>
        <w:tblCellMar>
          <w:top w:w="28" w:type="dxa"/>
          <w:left w:w="28" w:type="dxa"/>
          <w:bottom w:w="28" w:type="dxa"/>
          <w:right w:w="28" w:type="dxa"/>
        </w:tblCellMar>
      </w:tblPr>
      <w:tblGrid>
        <w:gridCol w:w="349"/>
        <w:gridCol w:w="6342"/>
      </w:tblGrid>
      <w:tr>
        <w:trPr/>
        <w:tc>
          <w:tcPr>
            <w:tcW w:w="349" w:type="dxa"/>
            <w:tcBorders/>
            <w:vAlign w:val="center"/>
          </w:tcPr>
          <w:p>
            <w:pPr>
              <w:pStyle w:val="TableContents"/>
              <w:bidi w:val="0"/>
              <w:spacing w:before="0" w:after="283"/>
              <w:jc w:val="left"/>
              <w:rPr>
                <w:sz w:val="4"/>
                <w:szCs w:val="4"/>
              </w:rPr>
            </w:pPr>
            <w:r>
              <w:rPr>
                <w:sz w:val="4"/>
                <w:szCs w:val="4"/>
              </w:rPr>
            </w:r>
          </w:p>
        </w:tc>
        <w:tc>
          <w:tcPr>
            <w:tcW w:w="6342" w:type="dxa"/>
            <w:tcBorders/>
            <w:vAlign w:val="center"/>
          </w:tcPr>
          <w:p>
            <w:pPr>
              <w:pStyle w:val="TableContents"/>
              <w:bidi w:val="0"/>
              <w:spacing w:before="0" w:after="283"/>
              <w:ind w:left="0" w:right="0" w:firstLine="18"/>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left"/>
              <w:rPr>
                <w:color w:val="000000"/>
              </w:rPr>
            </w:pPr>
            <w:r>
              <w:rPr>
                <w:color w:val="000000"/>
              </w:rPr>
              <w:t>☒</w:t>
            </w:r>
          </w:p>
        </w:tc>
        <w:tc>
          <w:tcPr>
            <w:tcW w:w="6342" w:type="dxa"/>
            <w:tcBorders/>
            <w:tcMar>
              <w:top w:w="0" w:type="dxa"/>
              <w:left w:w="0" w:type="dxa"/>
              <w:bottom w:w="0" w:type="dxa"/>
              <w:right w:w="0" w:type="dxa"/>
            </w:tcMar>
            <w:vAlign w:val="center"/>
          </w:tcPr>
          <w:p>
            <w:pPr>
              <w:pStyle w:val="TableContents"/>
              <w:bidi w:val="0"/>
              <w:spacing w:before="0" w:after="283"/>
              <w:ind w:left="18" w:right="38" w:firstLine="18"/>
              <w:jc w:val="left"/>
              <w:rPr>
                <w:rFonts w:ascii="Times New Roman" w:hAnsi="Times New Roman"/>
                <w:color w:val="000000"/>
                <w:sz w:val="18"/>
              </w:rPr>
            </w:pPr>
            <w:r>
              <w:rPr>
                <w:rFonts w:ascii="Times New Roman" w:hAnsi="Times New Roman"/>
                <w:color w:val="000000"/>
                <w:sz w:val="18"/>
              </w:rPr>
              <w:t>Annual Report pursuant to Section 13 or 15(d) of the Securities Exchange Act of 1934</w:t>
            </w:r>
          </w:p>
        </w:tc>
      </w:tr>
    </w:tbl>
    <w:p>
      <w:pPr>
        <w:pStyle w:val="TextBody"/>
        <w:bidi w:val="0"/>
        <w:spacing w:before="54" w:after="283"/>
        <w:jc w:val="center"/>
        <w:rPr>
          <w:rFonts w:ascii="Times New Roman" w:hAnsi="Times New Roman"/>
          <w:color w:val="000000"/>
          <w:sz w:val="18"/>
        </w:rPr>
      </w:pPr>
      <w:r>
        <w:rPr>
          <w:rFonts w:ascii="Times New Roman" w:hAnsi="Times New Roman"/>
          <w:color w:val="000000"/>
          <w:sz w:val="18"/>
        </w:rPr>
        <w:t>For the fiscal year ended December 31, 2024</w:t>
      </w:r>
    </w:p>
    <w:p>
      <w:pPr>
        <w:pStyle w:val="TextBody"/>
        <w:bidi w:val="0"/>
        <w:spacing w:before="108" w:after="283"/>
        <w:jc w:val="center"/>
        <w:rPr>
          <w:rFonts w:ascii="Times New Roman" w:hAnsi="Times New Roman"/>
          <w:color w:val="000000"/>
          <w:sz w:val="18"/>
        </w:rPr>
      </w:pPr>
      <w:r>
        <w:rPr>
          <w:rFonts w:ascii="Times New Roman" w:hAnsi="Times New Roman"/>
          <w:color w:val="000000"/>
          <w:sz w:val="18"/>
        </w:rPr>
        <w:t>OR</w:t>
      </w:r>
    </w:p>
    <w:p>
      <w:pPr>
        <w:pStyle w:val="TextBody"/>
        <w:bidi w:val="0"/>
        <w:jc w:val="left"/>
        <w:rPr/>
      </w:pPr>
      <w:r>
        <w:rPr/>
        <w:t> </w:t>
      </w:r>
    </w:p>
    <w:tbl>
      <w:tblPr>
        <w:tblW w:w="6988" w:type="dxa"/>
        <w:jc w:val="left"/>
        <w:tblInd w:w="0" w:type="dxa"/>
        <w:tblLayout w:type="fixed"/>
        <w:tblCellMar>
          <w:top w:w="28" w:type="dxa"/>
          <w:left w:w="28" w:type="dxa"/>
          <w:bottom w:w="28" w:type="dxa"/>
          <w:right w:w="28" w:type="dxa"/>
        </w:tblCellMar>
      </w:tblPr>
      <w:tblGrid>
        <w:gridCol w:w="161"/>
        <w:gridCol w:w="146"/>
        <w:gridCol w:w="146"/>
        <w:gridCol w:w="1903"/>
        <w:gridCol w:w="1903"/>
        <w:gridCol w:w="272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903" w:type="dxa"/>
            <w:tcBorders/>
            <w:tcMar>
              <w:top w:w="0" w:type="dxa"/>
              <w:left w:w="0" w:type="dxa"/>
              <w:bottom w:w="0" w:type="dxa"/>
              <w:right w:w="0" w:type="dxa"/>
            </w:tcMar>
            <w:vAlign w:val="center"/>
          </w:tcPr>
          <w:p>
            <w:pPr>
              <w:pStyle w:val="TableContents"/>
              <w:bidi w:val="0"/>
              <w:spacing w:before="0" w:after="283"/>
              <w:jc w:val="left"/>
              <w:rPr/>
            </w:pPr>
            <w:r>
              <w:rPr/>
              <w:t> </w:t>
            </w:r>
          </w:p>
        </w:tc>
        <w:tc>
          <w:tcPr>
            <w:tcW w:w="2729"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color w:val="000000"/>
              </w:rPr>
            </w:pPr>
            <w:r>
              <w:rPr>
                <w:color w:val="000000"/>
              </w:rPr>
              <w:t>☐</w:t>
            </w:r>
          </w:p>
        </w:tc>
        <w:tc>
          <w:tcPr>
            <w:tcW w:w="6535" w:type="dxa"/>
            <w:gridSpan w:val="3"/>
            <w:tcBorders/>
            <w:tcMar>
              <w:top w:w="0" w:type="dxa"/>
              <w:left w:w="0" w:type="dxa"/>
              <w:bottom w:w="0" w:type="dxa"/>
              <w:right w:w="0" w:type="dxa"/>
            </w:tcMar>
            <w:vAlign w:val="center"/>
          </w:tcPr>
          <w:p>
            <w:pPr>
              <w:pStyle w:val="TableContents"/>
              <w:bidi w:val="0"/>
              <w:spacing w:before="0" w:after="283"/>
              <w:ind w:left="18" w:right="38" w:firstLine="18"/>
              <w:jc w:val="left"/>
              <w:rPr>
                <w:rFonts w:ascii="Times New Roman" w:hAnsi="Times New Roman"/>
                <w:color w:val="000000"/>
                <w:sz w:val="18"/>
              </w:rPr>
            </w:pPr>
            <w:r>
              <w:rPr>
                <w:rFonts w:ascii="Times New Roman" w:hAnsi="Times New Roman"/>
                <w:color w:val="000000"/>
                <w:sz w:val="18"/>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transition period from________ to_______</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000-21129</w:t>
      </w:r>
    </w:p>
    <w:p>
      <w:pPr>
        <w:pStyle w:val="TextBody"/>
        <w:bidi w:val="0"/>
        <w:jc w:val="center"/>
        <w:rPr/>
      </w:pPr>
      <w:r>
        <w:rPr/>
        <w:t> </w:t>
      </w:r>
    </w:p>
    <w:p>
      <w:pPr>
        <w:pStyle w:val="TextBody"/>
        <w:bidi w:val="0"/>
        <w:jc w:val="center"/>
        <w:rPr>
          <w:rFonts w:ascii="Times New Roman" w:hAnsi="Times New Roman"/>
          <w:b/>
          <w:color w:val="000000"/>
          <w:sz w:val="32"/>
          <w:u w:val="single"/>
        </w:rPr>
      </w:pPr>
      <w:r>
        <w:rPr>
          <w:rFonts w:ascii="Times New Roman" w:hAnsi="Times New Roman"/>
          <w:b/>
          <w:color w:val="000000"/>
          <w:sz w:val="32"/>
          <w:u w:val="single"/>
        </w:rPr>
        <w:t>AWARE, INC.</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left"/>
        <w:rPr/>
      </w:pPr>
      <w:r>
        <w:rPr/>
        <w:t> </w:t>
      </w:r>
    </w:p>
    <w:tbl>
      <w:tblPr>
        <w:tblW w:w="4952" w:type="dxa"/>
        <w:jc w:val="left"/>
        <w:tblInd w:w="0" w:type="dxa"/>
        <w:tblLayout w:type="fixed"/>
        <w:tblCellMar>
          <w:top w:w="28" w:type="dxa"/>
          <w:left w:w="28" w:type="dxa"/>
          <w:bottom w:w="28" w:type="dxa"/>
          <w:right w:w="28" w:type="dxa"/>
        </w:tblCellMar>
      </w:tblPr>
      <w:tblGrid>
        <w:gridCol w:w="2281"/>
        <w:gridCol w:w="2671"/>
      </w:tblGrid>
      <w:tr>
        <w:trPr/>
        <w:tc>
          <w:tcPr>
            <w:tcW w:w="228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Massachusetts</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04-2911026</w:t>
            </w:r>
          </w:p>
        </w:tc>
      </w:tr>
      <w:tr>
        <w:trPr/>
        <w:tc>
          <w:tcPr>
            <w:tcW w:w="22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28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4997" w:type="dxa"/>
        <w:jc w:val="left"/>
        <w:tblInd w:w="0" w:type="dxa"/>
        <w:tblLayout w:type="fixed"/>
        <w:tblCellMar>
          <w:top w:w="28" w:type="dxa"/>
          <w:left w:w="28" w:type="dxa"/>
          <w:bottom w:w="28" w:type="dxa"/>
          <w:right w:w="28" w:type="dxa"/>
        </w:tblCellMar>
      </w:tblPr>
      <w:tblGrid>
        <w:gridCol w:w="4081"/>
        <w:gridCol w:w="916"/>
      </w:tblGrid>
      <w:tr>
        <w:trPr/>
        <w:tc>
          <w:tcPr>
            <w:tcW w:w="40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76 Blanchard Road, Burlington, Massachusetts</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01803</w:t>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(781) 687-0300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8140" w:type="dxa"/>
        <w:jc w:val="left"/>
        <w:tblInd w:w="0" w:type="dxa"/>
        <w:tblLayout w:type="fixed"/>
        <w:tblCellMar>
          <w:top w:w="28" w:type="dxa"/>
          <w:left w:w="28" w:type="dxa"/>
          <w:bottom w:w="28" w:type="dxa"/>
          <w:right w:w="28" w:type="dxa"/>
        </w:tblCellMar>
      </w:tblPr>
      <w:tblGrid>
        <w:gridCol w:w="3106"/>
        <w:gridCol w:w="146"/>
        <w:gridCol w:w="1276"/>
        <w:gridCol w:w="146"/>
        <w:gridCol w:w="346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AWRE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Exchange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3692" w:type="dxa"/>
        <w:jc w:val="left"/>
        <w:tblInd w:w="0" w:type="dxa"/>
        <w:tblLayout w:type="fixed"/>
        <w:tblCellMar>
          <w:top w:w="28" w:type="dxa"/>
          <w:left w:w="28" w:type="dxa"/>
          <w:bottom w:w="28" w:type="dxa"/>
          <w:right w:w="28" w:type="dxa"/>
        </w:tblCellMar>
      </w:tblPr>
      <w:tblGrid>
        <w:gridCol w:w="1681"/>
        <w:gridCol w:w="2011"/>
      </w:tblGrid>
      <w:tr>
        <w:trPr/>
        <w:tc>
          <w:tcPr>
            <w:tcW w:w="168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Large Accelerated Filer ☐</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Accelerated filer ☐</w:t>
            </w:r>
          </w:p>
        </w:tc>
      </w:tr>
      <w:tr>
        <w:trPr/>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Non-accelerated filer ☒</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Smaller reporting company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5"/>
              </w:rPr>
              <w:t xml:space="preserve">Emerging growth company </w:t>
            </w: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As of June 28, 2024, the aggregate market value of the registrant’s common stock held by non-affiliates of the registrant, based on the closing sale price as reported on the Nasdaq Global Market, was approximately $22,599,369.</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Portions of the registrant’s definitive Proxy Statement to be delivered to shareholders in connection with the registrant’s Annual Meeting of Shareholders to be held on June 11, 2025 are incorporated by reference into Part III of this Annual Report on Form 10-K.</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r>
        <w:rPr>
          <w:rFonts w:ascii="Times New Roman" w:hAnsi="Times New Roman"/>
          <w:b/>
          <w:color w:val="000000"/>
          <w:sz w:val="20"/>
        </w:rPr>
        <w:t>FORM 10-K</w:t>
      </w:r>
    </w:p>
    <w:p>
      <w:pPr>
        <w:pStyle w:val="TextBody"/>
        <w:bidi w:val="0"/>
        <w:jc w:val="center"/>
        <w:rPr>
          <w:rFonts w:ascii="Times New Roman" w:hAnsi="Times New Roman"/>
          <w:b/>
          <w:color w:val="000000"/>
          <w:sz w:val="20"/>
        </w:rPr>
      </w:pPr>
      <w:r>
        <w:rPr>
          <w:rFonts w:ascii="Times New Roman" w:hAnsi="Times New Roman"/>
          <w:b/>
          <w:color w:val="000000"/>
          <w:sz w:val="20"/>
        </w:rPr>
        <w:t>FOR THE YEAR ENDED DECEMBER 31, 2024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2"/>
        <w:gridCol w:w="146"/>
        <w:gridCol w:w="8885"/>
        <w:gridCol w:w="362"/>
      </w:tblGrid>
      <w:tr>
        <w:trPr/>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8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1__business">
              <w:r>
                <w:rPr>
                  <w:rStyle w:val="InternetLink"/>
                  <w:rFonts w:ascii="Times New Roman" w:hAnsi="Times New Roman"/>
                  <w:color w:val="0000FF"/>
                  <w:sz w:val="20"/>
                  <w:u w:val="single"/>
                </w:rPr>
                <w:t>Business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2__properties">
              <w:r>
                <w:rPr>
                  <w:rStyle w:val="InternetLink"/>
                  <w:rFonts w:ascii="Times New Roman" w:hAnsi="Times New Roman"/>
                  <w:color w:val="0000FF"/>
                  <w:sz w:val="20"/>
                  <w:u w:val="single"/>
                </w:rPr>
                <w:t>Properties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3_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4_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r>
              <w:rPr>
                <w:rFonts w:ascii="Times New Roman" w:hAnsi="Times New Roman"/>
                <w:color w:val="000000"/>
                <w:sz w:val="20"/>
              </w:rPr>
              <w:t xml:space="preserve"> </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Reserved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Disclosure Regarding Foreign Jurisdictions that Prevent Inspections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III</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IV</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item_1__business"/>
      <w:bookmarkEnd w:id="2"/>
      <w:r>
        <w:rPr>
          <w:rFonts w:ascii="Times New Roman" w:hAnsi="Times New Roman"/>
          <w:b/>
          <w:color w:val="000000"/>
          <w:sz w:val="20"/>
        </w:rPr>
        <w:t>ITEM 1.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Aware, Inc. (“Aware”, “we”, “us”, “our”, or the “Company”) is a leading, biometric identification company that validates and secures identities using proven and trusted biometrics. Aware’s software offerings address the growing challenges that government and commercial enterprises face in knowing, authenticating and securing individuals through frictionless and highly secure user experiences. Aware’s algorithms are based on diverse data sets from around the world and can be tailored to the unique security requirements of each customer. Our portfolio enables government agencies and commercial entities to enroll, identify, authenticate and enable using biometrics, which comprise physiological characteristics, such as fingerprints, faces, irises and voices.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Enroll:</w:t>
      </w:r>
      <w:r>
        <w:rPr>
          <w:color w:val="000000"/>
        </w:rPr>
        <w:t xml:space="preserve"> </w:t>
      </w:r>
      <w:r>
        <w:rPr>
          <w:rFonts w:ascii="Times New Roman" w:hAnsi="Times New Roman"/>
          <w:color w:val="000000"/>
          <w:sz w:val="20"/>
        </w:rPr>
        <w:t>Register biometric identities into an organization’s secure database</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0"/>
        </w:rPr>
        <w:t>Identify:</w:t>
      </w:r>
      <w:r>
        <w:rPr>
          <w:color w:val="000000"/>
        </w:rPr>
        <w:t xml:space="preserve"> </w:t>
      </w:r>
      <w:r>
        <w:rPr>
          <w:rFonts w:ascii="Times New Roman" w:hAnsi="Times New Roman"/>
          <w:color w:val="000000"/>
          <w:sz w:val="20"/>
        </w:rPr>
        <w:t>Utilize an organization’s secure database to accurately identify individuals using biometric data</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0"/>
        </w:rPr>
        <w:t>Authenticate:</w:t>
      </w:r>
      <w:r>
        <w:rPr>
          <w:color w:val="000000"/>
        </w:rPr>
        <w:t xml:space="preserve"> </w:t>
      </w:r>
      <w:r>
        <w:rPr>
          <w:rFonts w:ascii="Times New Roman" w:hAnsi="Times New Roman"/>
          <w:color w:val="000000"/>
          <w:sz w:val="20"/>
        </w:rPr>
        <w:t>Provide frictionless, multi-factor, password-less access to secured accounts and databases with biometric verification</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color w:val="000000"/>
          <w:sz w:val="20"/>
        </w:rPr>
        <w:t>Enable:</w:t>
      </w:r>
      <w:r>
        <w:rPr>
          <w:color w:val="000000"/>
        </w:rPr>
        <w:t xml:space="preserve"> </w:t>
      </w:r>
      <w:r>
        <w:rPr>
          <w:rFonts w:ascii="Times New Roman" w:hAnsi="Times New Roman"/>
          <w:color w:val="000000"/>
          <w:sz w:val="20"/>
        </w:rPr>
        <w:t>Manage the lifecycle of secure identities through optimized biometric interchanges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comprehensive portfolio of biometric solutions is based on innovative, robust products designed explicitly for ease of integration, including customer-managed and integration ready biometric frameworks, platforms, software development kits (“SDKs”) and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 added resellers (“VARs”), partners, and directly to select end user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Aware was incorporated in Massachusetts in 1986. We are headquartered at 76 Blanchard Road in Burlington, Massachusetts, and our telephone number at this address is (781) 687-0300. Our website address is www.aware.com. The information on our website is not part of this Form 10-K, unless expressly noted. Our stock is traded on the Nasdaq Global Market under the symbol AWRE.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Principal Products &amp;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sell a broad range of biometrics software products and solutions that perform functions to address our customers’ desired use cases where they are addressing improved security, data protection, compliance and improved ROI and efficiencies including: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Enrollment of their workforce for benefits and background checks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Enrollment of their customers for a better experience or improved customer service and security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Law enforcement processing and forensic analysis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Trusted remote enrollment where travel or direct contact is not viable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Trusted transactions and authentication that enable physical and logical access control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biometrics software solutions are built upon robust componentized products that are customer configurable to give them control so they can uniquely address their specific customers’ expectations. These solutions and services facilitate customers with an opportunity for a faster go-to-market process to help reduce their development times and exposure to software support and maintenance risks. Our solutions and services are described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Integrated Framework and Platform Solutions and Services</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Knomi® Mobile Framework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Knomi mobile biometric authentication framework is built on our hardened biometric SDK components, which are optimized to operate on mobile devices, and a server that together enable strong, multi-factor, password-free authentication from a mobile device using biometrics. Knomi offers multiple biometric modality options, including facial recognition, and voice authentication as means to enroll, onboard or authenticate. Knomi software components can be used in different combinations and configurations to enable either a server-centric architecture, a web-based or a device-centric implementation. Knomi has primarily been sold as a fixed term license that is priced on a subscription-based model and is also available as a perpetual license. Going forward we plan to transition the Knomi offering to within the AwareID offering.</w:t>
      </w:r>
    </w:p>
    <w:p>
      <w:pPr>
        <w:pStyle w:val="TextBody"/>
        <w:bidi w:val="0"/>
        <w:spacing w:before="200" w:after="283"/>
        <w:jc w:val="both"/>
        <w:rPr>
          <w:rFonts w:ascii="Times New Roman" w:hAnsi="Times New Roman"/>
          <w:sz w:val="20"/>
        </w:rPr>
      </w:pPr>
      <w:r>
        <w:rPr>
          <w:rFonts w:ascii="Times New Roman" w:hAnsi="Times New Roman"/>
          <w:i/>
          <w:color w:val="000000"/>
          <w:sz w:val="20"/>
          <w:u w:val="single"/>
        </w:rPr>
        <w:t>AwareABIS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AwareABIS is an automated biometric identification system (“ABIS”) used for large-scale biometric identification and deduplication using fingerprint, face, and iris recognition. AwareABIS is a highly scalable platform that performs one-to-many ("1:N") search or one-to-one ("1:1") match against large stores of biometrics and other identity data. Utilizing distributed computing, AwareABIS also enables complex filtering, and linking operations critical to data preparation and quality assurance functions, such as identity resolution and data deduplication of massive biometric databases (tens of millions of records). The platform is built upon several mature, high-performance, field-proven applications and algorithms from Aware. AwareABIS has primarily been sold as a fixed term license that is priced based on the size of the biometric system or on a subscription-based model.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AFIX Suite of Products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Aware’s AFIX suite of products is used for small-scale law enforcement focused biometric identification. AFIX Tracker supports fingerprint, palmprint and latent print identification, designed to serve between 15,000 and 2 million identities. AFIX Tracker has several function-specific variants: Entry Only (LE), Latent Workstation (LW), Remote Workstation (RW), Facial Recognition (FR), and View &amp; Print (VP). In addition to AFIX Tracker we also sell and offer AFIX Face, AFIX Verifier, AFIX Identifier, AFIX Comparator, AFIX Engine, and ANTE (AFIX NIST Transaction Engine). AFIX Tracker is ideal for crime scene investigation applications in low to moderate sized community populations. The product provides minutiae-based search capability and can be configured as either a standalone system, or for use with centralized, server-based data stores. AFIX Tracker has primarily been sold as a perpetual license and is also available as a fixed term license that is priced on a subscription-based model or the size of the biometric system.</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BioSP - Biometric Services Platform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BioSP is a biometric integration platform-as-a-service ("iPaaS") used to enable biometric data processing and management functionality in a web services architecture. It provides workflow, data management and formatting, and other important utilities for large-scale fingerprint recognition, face recognition, and iris recognition systems. BioSP is well suited for applications that require the collection of biometrics throughout a distributed network, and subsequent aggregation, analysis, processing, distribution, matching, and sharing of data with other system components. BioSP is modular, programmable, scalable, and secure, capable of managing all aspects of transaction workflow, including messaging, submissions, responses, and logging. BioSP has primarily been sold as a perpetual license and is also available as a fixed term license that is priced on users, transactions, or enterprise wide.</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WebEnroll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WebEnroll is a browser-based biometric enrollment and data management solution available as an enhanced version of BioSP that utilizes BioComponents for capture of biographic data, fingerprints and facial images in a browser. Each BioComponent performs advanced biometric image autocapture as well as capture device hardware abstraction. Once images are captured, they are submitted to BioSP, where configurable workflows and modular software applications are used for processing, routing, and storage of each transaction. WebEnroll has primarily been sold as a perpetual license and is also available as a fixed term license that is priced on users, transactions, or enterprise wide.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AwareID</w:t>
      </w:r>
    </w:p>
    <w:p>
      <w:pPr>
        <w:pStyle w:val="TextBody"/>
        <w:bidi w:val="0"/>
        <w:spacing w:before="200" w:after="283"/>
        <w:jc w:val="both"/>
        <w:rPr>
          <w:rFonts w:ascii="Times New Roman" w:hAnsi="Times New Roman"/>
          <w:sz w:val="20"/>
        </w:rPr>
      </w:pPr>
      <w:r>
        <w:rPr>
          <w:rFonts w:ascii="Times New Roman" w:hAnsi="Times New Roman"/>
          <w:color w:val="000000"/>
          <w:sz w:val="20"/>
        </w:rPr>
        <w:t>AwareID</w:t>
      </w:r>
      <w:r>
        <w:rPr>
          <w:rFonts w:ascii="Times New Roman" w:hAnsi="Times New Roman"/>
          <w:color w:val="000000"/>
          <w:sz w:val="11"/>
        </w:rPr>
        <w:t></w:t>
      </w:r>
      <w:r>
        <w:rPr>
          <w:rFonts w:ascii="Times New Roman" w:hAnsi="Times New Roman"/>
          <w:color w:val="000000"/>
          <w:sz w:val="20"/>
        </w:rPr>
        <w:t xml:space="preserve"> is a Software-as-a-Service (SaaS) offering that provides advanced identity verification and continuous authentication capabilities. Its modular design ensures flexibility and extensibility across various industries. AwareID continues to leverage Knomi to provide biometric face and voice matching (1:1 and 1:N), liveness-verification (presentation attack detection), and document validation. The platform uses proprietary Adaptive Authentication technology in cloud-based bundles which can be pre-configured and/or configured by the customer to provide comprehensive authentication functionality with situational awareness for onboarding, access control/management, and authentication of transactions. These services can be used discretely to enhance investments already in place or combined to provide higher functionality. The AwareID solution is built on open architecture and interfaces to maximize interoperability and connection to other biometric and/or digital identity applications and platforms. AwareID is typically provided as a SaaS offering with usage-based or transaction-based pricing, however it is also available on-premises when leveraging Knomi SDKs.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Software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sell a broad range of software components, or “building blocks”, such as SDKs, APIs, and applications that customers use to streamline or develop their systems into more effective solutions. These building blocks enable important functions including: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Matching of biometric samples against biometric databases.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Enrollment, analysis, and processing of biometric images and identity data on workstations.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Image compression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BioComponents bundles our offerings as applications with a user interface. We also license our software unbundled as building blocks and have primarily sold these offerings as a perpetual license.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Historically, we sold our software products under perpetual or fixed-term licenses. With the introduction of AwareID, we have incorporated SaaS offerings into our product line-up. While we did not recognize material revenues from our SaaS offerings during 2024 and 2023, we continue to invest in and we expect SaaS to become a significant product offering moving forward.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Building Blocks: SDKs, APIs, Applications, and Subsystems</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Biometric Search &amp; Matching SDKs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SDKs consist of: i) multiple software libraries; ii) sample applications that show customers how to use the libraries; and iii) documentation. Customers use our SDKs to design and develop biometrics applications. Nexa is our line of biometric search and match SDKs, including Nexa|Fingerprint, Nexa|Face, Nexa|Iris and Nexa|Voice. These products provide high-performance biometric algorithms for fingerprint, facial, iris and voice identification or authentication. The algorithms in these products convert images into biometric templates, which can then be compared to templates stored in databases to find matches.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the Nexa line, we also offer AwareXM, an interoperable fingerprint matching SDK that provides MINEX-certified, INCITS 378-compliant fingerprint minutiae extraction, template generation, and fingerprint authentication.</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Biometric Enrollment SDKs and APIs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suite of enrollment SDKs and APIs performs functions that are critical to biometric enrollment, including (i) image capture and hardware abstraction, (ii) image quality assurance, (iii) image compression, (iv) mobile enrollment, matching and liveness verification, and (v) fingerprint card processing.</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Imaging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our biometrics software products, we also sell products used in applications involving medical and advanced imaging. Our principal imaging product is Aware JPEG 2000, which is based on the JPEG2000 standard. The JPEG2000 standard is an image compression standard and coding system that was created by the Joint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Photographic Experts Group committee in 2000. Our JPEG2000 product is used to compress, store, and display images. Those images are typically medical images.</w:t>
      </w:r>
    </w:p>
    <w:p>
      <w:pPr>
        <w:pStyle w:val="TextBody"/>
        <w:bidi w:val="0"/>
        <w:spacing w:before="200" w:after="283"/>
        <w:jc w:val="both"/>
        <w:rPr>
          <w:rFonts w:ascii="Times New Roman" w:hAnsi="Times New Roman"/>
          <w:sz w:val="20"/>
        </w:rPr>
      </w:pPr>
      <w:r>
        <w:rPr>
          <w:rFonts w:ascii="Times New Roman" w:hAnsi="Times New Roman"/>
          <w:i/>
          <w:color w:val="000000"/>
          <w:sz w:val="20"/>
          <w:u w:val="single"/>
        </w:rPr>
        <w:t>Software maintenance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also provide and sell software maintenance to many of our customers who purchase our software products and solutions. Software maintenance has historically been made available by contracts that typically have a one-year term during which customers have the right to receive technical support and software updates for a fixed fee, if and when they become available. Software maintenance is also available as part of a subscription-based solution offering under which customers receive standard software maintenance plus access to upgrades and product enhancements.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provide a variety of program management and software engineering services, including: i) project planning and management; ii) system and architecture design; iii) software design, development, customization, configuration, and testing; and iv) software integration and installation. Services are sold in conjunction with our products and solutions and are provided for a fixed fee.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Service engagement deliverables may include: i) complete customer software solutions; ii) one or more subsystems comprised of software products that are integrated within a larger system; iii) custom-configured versions of existing software products; or iv) custom-designed software products. In some cases, the software resulting from service engagements may form the basis for new or improved Aware software solutions and/or products.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customers for services include: i) government agencies; ii) large multinational systems integrators; iii) smaller systems integrators with a particular market, technology or geographic focus; and iv) commercial partners or providers of products, solutions, and services for themselves or to their end customers. We provide services directly to end-users or indirectly to end-users through systems integrators or commercial entities or partners. When we provide services to systems integrators, they are often engaged with the end-user as a prime contractor and are responsible for delivery of a complete solution, in which case we typically serve as a subcontractor assigned a subset of the total scope of work.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scope of our services projects varies. A small project might involve configuration and testing of a single software product, taking a small team one month or less. A large project might involve delivery of a more complex solution comprised of multiple products and subsystems, requiring a larger team to conduct program and project management, system design, software customization and integration, and taking up to one year or more. Some projects are followed by subsequent follow-on projects that serve to change or extend the features and functionality of the initial system.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Distribution Methods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sell our solutions and services predominantly through three principal channels of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Partner sales – This category includes resellers that market and sell Aware-branded solutions to end users. Additionally, this category includes system integrators, consulting partners, independent software vendors (ISVs), distributors, and managed service providers (MSPs) that market, sell, deploy, and support our solutions. It also includes referral partners who identify opportunities but do not resell or directly deliver solutions.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Direct channel – We sell directly to federal, state, and local government agencies, as well as large enterprise customers in both the public and commercial sectors.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OEM partnerships – System integrators, ISVs, MSPs, and hardware vendors that integrate our biometric components and SDKs into their platforms or applications, which are then sold independently.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Major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of our revenue in 2024 and 2023 was derived from unaffiliated customers. No customer represented 10% or more of total revenue in 2024, and one customer represented 18% of total revenue in 2023. As of December 31, 2024, two customers combined represented 34% of our net accounts receivable and unbilled receivables, and as of December 31, 2023, one customer represented 16%, of our net accounts receivable and unbilled receivables.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Competitive Business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significant number of established companies have developed or are developing and marketing software and hardware for biometrics products and applications that currently compete with or will compete directly with our offerings. We believe that additional competitors will enter the biometrics market and become significant long-term competitors, and that, as a result, competition will increase. Companies competing with us may introduce solutions that are competitively priced, have increased performance or functionality or incorporate technological advances we have not yet developed or implemented. Our current principal competitors include: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Diversified technology providers that offer integrated biometrics solutions to governments, law enforcement agencies and other commercial organizations. This group of competitors includes companies such as Idemia, Thales, and NEC.</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Component providers that offer biometrics software and hardware components for fingerprint, facial, iris and voice biometric identification. This group of competitors includes companies such as FaceTec, iProov, and Innovatrics.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expect competition to intensify in the near term in the biometrics market. Many current and potential competitors have substantially greater financial, marketing, and research resources than we have. Moreover, low-cost foreign competitors have demonstrated a willingness to sell their products at significantly reduced prices. To compete effectively in this environment, we must continually develop and market new and enhanced solutions and technologies at competitive prices, and must have the resources available to invest in significant research and development activities. Our failure to compete successfully could cause our revenues and market share to decline.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a combination of nondisclosure agreements and other contractual provisions, as well as patent, trademark, trade secret and copyright law to protect our proprietary rights. We have an active program to protect our proprietary technology through the filing of patents. As of December 31, 2024, we had 68 U.S. patents, 4 foreign patents and 7 pending patent applications. Our patents and patent applications pertain primarily to biometrics and imaging compression. We have let certain patents expire that are not aligned with our business and are not relevant to our current or future activities. Our patents have expiration dates ranging from 2026 to 2042.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Although we have patented certain aspects of our technology, we rely primarily on trade secrets to protect our intellectual property. We attempt to protect our trade secrets and other proprietary information through agreements with our customers, suppliers, employees and consultants, and through security measures. Each of our employees is required to sign a non-disclosure agreement. Although we intend to protect our rights vigorously, we cannot guarantee that these measures will be successful. In addition, effective intellectual property protection may be unavailable or limited in certain foreign countries.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Third parties may assert exclusive patent, copyright and other intellectual property rights to technologies that are important to us. We may receive claims from third parties suggesting that we may be obligated to license such intellectual property rights. If we were found to have infringed any third party’s patents, we could be subject to substantial damages or an injunction preventing us from conducting our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2024, we employed 64 people, all based in the U.S., including 33 in engineering and research, 20 in sales and marketing, and 11 in finance and administration. Of these employees, 47 were based in Massachusetts and 17 were based outside of Massachusetts. None of our employees are represented by a labor union. We consider our employee relations to be good.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our future success will depend in large part on the service of our technical, sales, marketing and senior management personnel and upon our ability to retain highly qualified technical, sales and marketing and managerial personnel. We cannot guarantee that we will be able to retain our key managers and employees or that we will be able to attract and retain additional highly qualified personnel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Annual Report on Form 10-K, Quarterly Reports on Form 10-Q, Current Reports on Form 8-K, proxy statements, and amendments to reports filed pursuant to Sections 13(a) and 15(d) of the Securities Exchange Act of 1934, as amended, are made available free of charge on or through our website at www.aware.com as soon as reasonably practicable after such reports are filed with, or furnished to, the Securities and Exchange Commission (“the SEC”). The SEC also maintains a website, www.sec.gov, that contains reports and other information regarding issuers that file electronically with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Copies of our (i) Corporate Governance Principles, (ii) charters for the Audit Committee, Compensation Committee, and Nominating Committee, and (iii) Code of Ethics are available in the Investor Relations section of our website at www.aware.com.</w:t>
      </w:r>
    </w:p>
    <w:p>
      <w:pPr>
        <w:pStyle w:val="TextBody"/>
        <w:bidi w:val="0"/>
        <w:spacing w:before="200" w:after="283"/>
        <w:jc w:val="both"/>
        <w:rPr>
          <w:rFonts w:ascii="Times New Roman" w:hAnsi="Times New Roman"/>
          <w:sz w:val="20"/>
        </w:rPr>
      </w:pPr>
      <w:bookmarkStart w:id="3" w:name="item_1a_risk_factors"/>
      <w:bookmarkEnd w:id="3"/>
      <w:r>
        <w:rPr>
          <w:rFonts w:ascii="Times New Roman" w:hAnsi="Times New Roman"/>
          <w:b/>
          <w:color w:val="000000"/>
          <w:sz w:val="20"/>
        </w:rPr>
        <w:t xml:space="preserve">ITEM 1A. </w:t>
      </w:r>
      <w:r>
        <w:rPr>
          <w:rFonts w:ascii="Times New Roman" w:hAnsi="Times New Roman"/>
          <w:b/>
          <w:caps/>
          <w:color w:val="000000"/>
          <w:sz w:val="20"/>
        </w:rPr>
        <w:t>Risk Factors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operating results may fluctuate significantly from period-to-period and are difficult to predict.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Individual orders can represent a meaningful percentage of our revenues and operating results in any single period and the timing of the receipt of those orders is difficult to predict. The failure to close an order or the deferral or cancellation of an order can result in revenue and net income shortfalls for that quarter. We base our current and future expense levels on our internal operating plans and sales forecasts, and our operating costs are to a large extent fixed. As a result, we may not be able to sufficiently reduce our costs in any quarter to adequately compensate for an unexpected near-term shortfall in revenues, and even a small shortfall could disproportionately and adversely affect our financial results for that quarter.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financial results may be negatively affected by a number of factors as well, including the following: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lack or reduction of government funding and the political, budgetary and purchasing constraints of government customers who purchase products and services directly or indirectly from us;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terms of customer contracts that affect the timing of revenue recognition;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size and timing of our receipt of customer orders;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significant fluctuations in demand for our products and services;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loss of a key customer or one of its key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new competitors entering our markets, or the introduction of enhanced solutions from new or existing competitors;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competitive pressures on selling prices;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cancellations, or delays of orders or contract amendments by government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higher than expected costs, asset write-offs, and other one-time financial charges;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economic trends and other factors.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write-offs of investments in private companies;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these factors, we believe that period-to-period comparisons of our revenue levels and operating results are not necessarily meaningful. You should not rely on our quarterly or annual revenue and operating results to predict our future performance.</w:t>
      </w:r>
    </w:p>
    <w:p>
      <w:pPr>
        <w:pStyle w:val="TextBody"/>
        <w:bidi w:val="0"/>
        <w:spacing w:before="200" w:after="283"/>
        <w:jc w:val="both"/>
        <w:rPr>
          <w:rFonts w:ascii="Times New Roman" w:hAnsi="Times New Roman"/>
          <w:sz w:val="20"/>
        </w:rPr>
      </w:pPr>
      <w:r>
        <w:rPr>
          <w:rFonts w:ascii="Times New Roman" w:hAnsi="Times New Roman"/>
          <w:b/>
          <w:i/>
          <w:color w:val="000000"/>
          <w:sz w:val="20"/>
        </w:rPr>
        <w:t>We derive a significant portion of our revenue directly or indirectly from government customers, and our business may be adversely affected by changes in the contracting or fiscal policies of those governmental entities.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derive a significant portion of our revenue directly or indirectly from federal, international, state and local governments. We believe that the success and growth of our business will continue to depend on government customers purchasing our products and services either directly from us or indirectly through our channel partners.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Changes in government contracting policies or government budgetary constraints may adversely affect our financial performance. Among the factors that could adversely affect our business are: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of actions, such as those recently announced by the U.S. Department of Government Efficiency, intended to reduce the size of the federal government and federal spending,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changes in fiscal policies or decreases in available government funding,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changes in government funding priorities;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changes in government programs or applicable requirements;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adoption of new laws or regulations or changes to existing laws or regulations relating to the provision of biometrics services or the use of biometric data;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changes in political or social attitudes with respect to security and defense issues;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changes in audit policies and procedures of government entities;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potential delays or changes in the government appropriations process;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delays in the payment of our invoices by government payment offices.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and other factors could cause government customers or our channel partners to reduce purchases of products and services from us, which would have a material adverse effect on our business, financial condition and operating results.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derive a significant portion of our revenue from third party channel partners.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future results depend upon the continued successful distribution of our products through a channel of systems integrators and OEM partners. Systems integrators, including VARs, use our software products as a component of the biometrics systems they deliver to their customers. OEMs embed our software products in their technology devices or software products. These channel partners typically sell their products and services to government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effectively manage our relationships with these third parties could impair the success of our sales, marketing and support activities. Moreover, the activities of these third parties are not within our direct control. The occurrence of any of the following events could have a material adverse effect on our business, financial condition and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reduction in sales efforts by our partners;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our partners to win awards in which our products are used;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reduction in technical capabilities or financial viability of our partners;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misalignment of interest between us and any of our partners;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termination of our relationship with a major systems integrator or OEM;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adverse effect on a partner’s business related to competition, pricing or other factors.</w:t>
      </w:r>
    </w:p>
    <w:p>
      <w:pPr>
        <w:pStyle w:val="TextBody"/>
        <w:bidi w:val="0"/>
        <w:spacing w:before="200" w:after="283"/>
        <w:jc w:val="both"/>
        <w:rPr>
          <w:rFonts w:ascii="Times New Roman" w:hAnsi="Times New Roman"/>
          <w:sz w:val="20"/>
        </w:rPr>
      </w:pPr>
      <w:r>
        <w:rPr>
          <w:rFonts w:ascii="Times New Roman" w:hAnsi="Times New Roman"/>
          <w:b/>
          <w:i/>
          <w:color w:val="000000"/>
          <w:sz w:val="20"/>
        </w:rPr>
        <w:t>A significant commercial market for biometrics technology may not develop, and, even if it does, there can be no assurance our biometrics technology will be successful.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component of our strategy to grow our revenue includes expansion into commercial markets. To date, biometrics technology has received only limited acceptance and slow adoption in these markets. Although the recent appearance of biometric readers on popular consumer products, such as smartphones, has increased interest in biometrics as a means of authenticating and/or identifying individuals, commercial markets for biometrics technology are still developing and evolving. Biometrics-based solutions compete with more traditional security methods including keys, cards, personal identification numbers, passwords and security personnel. Acceptance of biometrics as an alternative to such traditional methods depends upon a number of factors including: i) the performance and reliability of biometric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solutions; ii) costs involved in adopting and integrating biometric solutions; iii) public concerns regarding privacy; and iv) potential privacy legislation.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these reasons, we are uncertain whether there will be significant demand for biometrics technology from commercial markets. Moreover, even if there is significant demand, there can be no assurance that our biometrics products will achieve market acceptance.</w:t>
      </w:r>
    </w:p>
    <w:p>
      <w:pPr>
        <w:pStyle w:val="TextBody"/>
        <w:bidi w:val="0"/>
        <w:spacing w:before="200" w:after="283"/>
        <w:jc w:val="both"/>
        <w:rPr>
          <w:rFonts w:ascii="Times New Roman" w:hAnsi="Times New Roman"/>
          <w:sz w:val="20"/>
        </w:rPr>
      </w:pPr>
      <w:r>
        <w:rPr>
          <w:rFonts w:ascii="Times New Roman" w:hAnsi="Times New Roman"/>
          <w:b/>
          <w:i/>
          <w:color w:val="000000"/>
          <w:sz w:val="20"/>
        </w:rPr>
        <w:t>If the biometrics market does not experience significant growth or if our products do not achieve broad acceptance both domestically and internationally, we may not be able to grow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revenues are derived primarily from sales of biometrics products and services. Our expectations regarding the future growth rate or the size of the biometrics market may not be accurate. The expansion of the biometrics market and the market for our biometrics products and services depends on a number of factors, such as: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 performance and reliability of our products and services and the products and services offered by our competitors;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continued growth in demand for biometrics solutions within the government and law enforcement markets, as well as the development and growth of demand for biometric solutions in markets outside of government and law enforcement;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customers’ perceptions regarding the benefits of biometrics solutions;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public perceptions regarding the intrusiveness of these solutions and the manner in which organizations use the biometric information collected;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public perceptions regarding the confidentiality of private information;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proposed or enacted legislation related to privacy of biometric information;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customers’ satisfaction with biometrics solutions;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marketing efforts and publicity regarding biometrics solutions.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biometrics solutions gain wide market acceptance, our solutions may not adequately address market requirements and may not continue to gain market acceptance. If biometrics solutions generally or our solutions specifically do not gain wide market acceptance, we may not be able to achieve our anticipated level of growth and our revenues, and our results of operations would be adversely affected.</w:t>
      </w:r>
    </w:p>
    <w:p>
      <w:pPr>
        <w:pStyle w:val="TextBody"/>
        <w:bidi w:val="0"/>
        <w:spacing w:before="200" w:after="283"/>
        <w:jc w:val="both"/>
        <w:rPr>
          <w:rFonts w:ascii="Times New Roman" w:hAnsi="Times New Roman"/>
          <w:sz w:val="20"/>
        </w:rPr>
      </w:pPr>
      <w:r>
        <w:rPr>
          <w:rFonts w:ascii="Times New Roman" w:hAnsi="Times New Roman"/>
          <w:b/>
          <w:i/>
          <w:color w:val="000000"/>
          <w:sz w:val="20"/>
        </w:rPr>
        <w:t>We face intense competition from other biometrics solutions providers.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significant number of established companies have developed or are developing and marketing software and hardware for biometrics products and applications that currently compete with or will compete directly with our offerings. We believe that additional competitors will enter the biometrics market and become significant long-term competitors, and that, as a result, competition will increase. Companies competing with us may introduce solutions that are competitively priced, have increased performance or functionality or incorporate technological advances we have not yet developed or implemented. Our current principal competitors include: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Diversified technology providers that offer integrated biometrics solutions to governments, law enforcement agencies and other organizations. This group of competitors includes companies such as Idemia, Thales, and NEC.</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Component providers that offer biometrics software and hardware components for fingerprint, facial, iris and voice biometric identification. This group of competitors includes companies such as FaceTec, iProov, and Innovatrics.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expect competition to intensify in the near term in the biometrics market. Many current and potential competitors have substantially greater financial, marketing, and research resources than we have. Moreover, low-cost foreign competitors from developing economies and other countries have demonstrated a willingness to sell their products at significantly reduced prices. To compete effectively in this environment, we must continually develop and market new and enhanced solutions and technologies at competitive prices and must have the resources available to invest in significant research and development activities. Our failure to compete successfully could cause our revenues and market share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The biometrics industry is characterized by rapid technological change and evolving industry standards, which could render our existing products obsolete.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success will depend upon our ability to develop and introduce a variety of new capabilities and enhancements to our existing products in order to address the changing and sophisticated needs of the marketplace. Frequently, technical development programs in the biometrics industry require assessments to be made of the future direction of technology, which is inherently difficult to predict. Delays in introducing new products and enhancements, the failure to choose correctly among technical alternatives or the failure to offer innovative products or enhancements at competitive prices may cause customers to forego purchases of our products and purchase our competitors’ products. We may not have adequate resources available to us or may not adequately keep pace with appropriate requirements in order to effectively compete in the marketplace.</w:t>
      </w:r>
    </w:p>
    <w:p>
      <w:pPr>
        <w:pStyle w:val="TextBody"/>
        <w:bidi w:val="0"/>
        <w:spacing w:before="200" w:after="283"/>
        <w:jc w:val="both"/>
        <w:rPr>
          <w:rFonts w:ascii="Times New Roman" w:hAnsi="Times New Roman"/>
          <w:sz w:val="20"/>
        </w:rPr>
      </w:pPr>
      <w:r>
        <w:rPr>
          <w:rFonts w:ascii="Times New Roman" w:hAnsi="Times New Roman"/>
          <w:b/>
          <w:i/>
          <w:color w:val="000000"/>
          <w:sz w:val="20"/>
        </w:rPr>
        <w:t>Our software products may have errors, defects or bugs, which could result in delayed or lost revenue, expensive correction, liability to our customers, and claims against us.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Despite testing, complex software products such as ours may contain errors, defects, or bugs, which may only be discovered after they have been installed and used by our customers. Defects in the products that we develop and sell to our customers could require expensive corrections and result in delayed or lost revenue, adverse customer reaction and negative publicity about us or our products and services. Customers who are not satisfied with any of our products may also bring claims against us for damages, which, even if unsuccessful, would likely be time-consuming to defend, and could result in costly litigation and payment of damages. Such claims could harm our reputation, financial results and competitive position.</w:t>
      </w:r>
    </w:p>
    <w:p>
      <w:pPr>
        <w:pStyle w:val="TextBody"/>
        <w:bidi w:val="0"/>
        <w:spacing w:before="200" w:after="283"/>
        <w:jc w:val="both"/>
        <w:rPr>
          <w:rFonts w:ascii="Times New Roman" w:hAnsi="Times New Roman"/>
          <w:sz w:val="20"/>
        </w:rPr>
      </w:pPr>
      <w:r>
        <w:rPr>
          <w:rFonts w:ascii="Times New Roman" w:hAnsi="Times New Roman"/>
          <w:b/>
          <w:i/>
          <w:color w:val="000000"/>
          <w:sz w:val="20"/>
        </w:rPr>
        <w:t>Our business may be adversely affected by our use of open-source software.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software industry is making increasing use of open-source software in the development of products. We also license and integrate certain open-source software components from third parties into our software. Open-source software license agreements may require that the software code in these components or the software into which they are integrated be freely accessible under open-source terms. Many features we may wish to add to our products in the future may be available as open-source software and our development team may wish to make use of this software to reduce development costs and speed up the development process. While we carefully monitor the use of all open-source software and try to ensure that no open-source software is used in such a way as to require us to disclose the source code to the related product, such use could inadvertently occur. If we were required to make our software freely available, our business could be seriously harmed.</w:t>
      </w:r>
    </w:p>
    <w:p>
      <w:pPr>
        <w:pStyle w:val="TextBody"/>
        <w:bidi w:val="0"/>
        <w:spacing w:before="200" w:after="283"/>
        <w:jc w:val="both"/>
        <w:rPr>
          <w:rFonts w:ascii="Times New Roman" w:hAnsi="Times New Roman"/>
          <w:sz w:val="20"/>
        </w:rPr>
      </w:pPr>
      <w:r>
        <w:rPr>
          <w:rFonts w:ascii="Times New Roman" w:hAnsi="Times New Roman"/>
          <w:b/>
          <w:i/>
          <w:color w:val="000000"/>
          <w:sz w:val="20"/>
        </w:rPr>
        <w:t>We rely on third-party software to develop and provide our solutions and significant defects in third-party software could harm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rely on software licensed from third parties to develop and offer some of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third-party relationships.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 number of relationships with third parties that are significant to our sales, marketing, support, and product development efforts, including hosting facilities for our cloud-based services. We rely on software and hardware vendors, large system integrators, and technology consulting firms to supply marketing and sales opportunities for our direct sales force and to strengthen our offerings using industry-standard tools and utilities. We also have relationships with third parties that distribute our products. There can be no assurance that these companies, many of which have far greater financial and marketing resources than us, will not develop or market offerings that compete with ours in the future or will not otherwise end or limit their relationships with us. Further, the use of third-party hosting facilities requires us to rely on the functionality and availability of the third parties’ services, as well as their data security, which despite our due diligence, may be or become inadequate.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Part of our future business is dependent on market demand for, and acceptance of, the cloud-based model for the use of software.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to derive a growing percentage of our revenue from the sale of cloud-based services. As a result, widespread acceptance and use of the cloud-based business model is critical to our future growth and success. While cloud-based solutions are widely adopted across many software sub-sectors, certain industries, such as security and government, have been slower to transition due to concerns over data control, privacy, and regulatory compliance. Under the perpetual or fixed-term license model for software procurement, users typically run applications on their own infrastructure, maintaining direct control over their IT environment. Government agencies and security-conscious enterprises may be particularly resistant to shifting mission-critical applications and sensitive data to cloud-based environments due to stringent security requirements, compliance mandates, and perceived risks associated with third-party hosting. If the adoption of cloud-based solutions in these sectors grows more slowly than anticipated or fails to gain traction, demand for our services could be negatively affected, which may, in turn, impact our future growth.</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operational systems, networks and products are subject to continually evolving cybersecurity or other technological risks, which could result in the disclosure of our or our customers' confidential information, damage to our reputation, additional costs, regulatory penalties and financial losses.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services and systems may be used in critical company, customer or third-party operations, or involve the storage, processing and transmission of sensitive data, including valuable intellectual property, other proprietary or confidential data, regulated data, and personal information of employees, customers and others. Successful breaches, employee malfeasance, or human or technological error could result in, for example, unauthorized access to, disclosure, modification, misuse, loss, or destruction of company, customer, or other third party data or systems; theft of sensitive, regulated, or confidential data including personal information and intellectual property; the loss of access to critical data or systems through ransomware, destructive attacks or other means; and business delays, service or system disruptions or denials of service.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or third parties with which we do business were to fall victim to successful cyber-attacks or experience other cybersecurity incidents, including the loss of individually identifiable customer or other sensitive data, we may incur substantial costs and suffer other negative consequences, which may include remediation costs, such as liability for stolen assets or information, repairs of system damage, and incentives to customers or business partners in an effort to maintain relationships after an attack as well as litigation and legal risks, including regulatory actions by state and federal regulators.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intellectual property is subject to limited protection.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Because we are a technology provider, our ability to protect our intellectual property and to operate without infringing the intellectual property rights of others is critical to our success. We regard our technology as proprietary. We rely on a combination of U.S. and worldwide patent, trade secret, copyright, and trademark law as well as confidentiality agreements to protect our proprietary technology. We cannot assure you that we will be able to enforce the patents we own against third parties. Some foreign countries do not currently provide effective legal protection for intellectual property and our ability to prevent the unauthorized use of our products in those countries is therefore limited. Despite our efforts, these measures can only provide limited protection. Unauthorized third parties may try to copy or reverse engineer portions of our products or otherwise obtain and use our intellectual property. If we fail to protect our intellectual property rights adequately, our competitors may gain access to our technology, and our business would thus be harmed.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future, we may be involved in legal action to enforce our intellectual property rights relating to our patents, copyrights or trade secrets. Any such litigation could be costly and time-consuming for us, even if we were to prevail. Moreover, even if we are successful in protecting our proprietary information, our competitors may independently develop technologies substantially equivalent or superior to our technology. Accordingly, despite our efforts, we may be unable to prevent third parties from infringing upon or misappropriating our intellectual property or otherwise gaining access to our technology. The misappropriation of our technology or the development of competitive technology could seriously harm our business.</w:t>
      </w:r>
    </w:p>
    <w:p>
      <w:pPr>
        <w:pStyle w:val="TextBody"/>
        <w:bidi w:val="0"/>
        <w:spacing w:before="200" w:after="283"/>
        <w:jc w:val="both"/>
        <w:rPr>
          <w:rFonts w:ascii="Times New Roman" w:hAnsi="Times New Roman"/>
          <w:sz w:val="20"/>
        </w:rPr>
      </w:pPr>
      <w:r>
        <w:rPr>
          <w:rFonts w:ascii="Times New Roman" w:hAnsi="Times New Roman"/>
          <w:b/>
          <w:i/>
          <w:color w:val="000000"/>
          <w:sz w:val="20"/>
        </w:rPr>
        <w:t>We may be sued by third parties for alleged infringement of their proprietary rights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be subject to claims that our technology and products infringe the intellectual property rights of others. A large and increasing number of participants in the technology industry, including companies known as non-practicing entities, have applied for or obtained patents. Some of these patent holders have demonstrated a readiness to commence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litigation based on allegations of patent infringement. Third parties have asserted against us in the past and may assert against us in the future patent, copyright and other intellectual property rights to technologies that are important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Intellectual property rights can be uncertain and involve complex legal and factual questions. Moreover, intellectual property claims, with or without merit, can be time-consuming and expensive to litigate or settle, and could divert management attention away from the execution of our business plan. If we were found to have infringed the proprietary rights of others, we could be subject to substantial damages or an injunction preventing us from conducting our business. </w:t>
      </w:r>
    </w:p>
    <w:p>
      <w:pPr>
        <w:pStyle w:val="TextBody"/>
        <w:bidi w:val="0"/>
        <w:spacing w:before="200" w:after="283"/>
        <w:jc w:val="both"/>
        <w:rPr>
          <w:rFonts w:ascii="Times New Roman" w:hAnsi="Times New Roman"/>
          <w:sz w:val="20"/>
        </w:rPr>
      </w:pPr>
      <w:r>
        <w:rPr>
          <w:rFonts w:ascii="Times New Roman" w:hAnsi="Times New Roman"/>
          <w:b/>
          <w:i/>
          <w:color w:val="000000"/>
          <w:sz w:val="20"/>
        </w:rPr>
        <w:t>If we are unable to attract and retain key personnel, our business could be harmed.</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our key employees were to leave, we could face substantial difficulty in hiring qualified successors and could experience a loss in productivity while any successor obtains the necessary training and experience. Our employment relationships are at-will and we have had key employees leave in the past. We cannot assure you that one or more key employees will not leave in the future. We intend to continue to hire additional highly qualified personnel, including software engineers and sales personnel, but may not be able to attract, assimilate or retain qualified personnel in the future. Any failure to attract, integrate, motivate and retain these employees could harm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may be affected by government laws and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Extensive regulation under federal, state, and foreign law has adversely affected us and could further adversely affect us in ways that are difficult for us to predict. More specifically, we are subject to regulatory environment changes regarding privacy and data protection that could have a material impact on our results of operations. These regulatory changes may potentially involve new regulatory issues/requirements such as the EU General Data Protection Regulation (“GDPR”), the California Privacy Rights Act (“CPRA”) and other comprehensive state privacy laws, the Illinois Biometric Privacy Act, Texas Statute on the Capture or Use of Biometric Identifier, State of Washington H.B. 1493, Brazil’s General Data Protection Law (“LGPD”) and any other state, federal or foreign regulations governing the collection, use and storage of biometric data. The potential costs of compliance with or imposed by new/existing regulations and policies that are applicable to us, or fines and penalties to which we may become subject if we fail to comply with those regulations and polices, may affect the use of our products and services and could have a material adverse impact on our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our business may also be adversely affected by: i) the imposition of tariffs, duties and other import restrictions on goods and services we purchase from non-domestic suppliers; ii) the imposition of tariffs, duties or other restrictions on the goods and services we provide outside of the United States; iii) the imposition of economic sanctions on existing or potential customers or suppliers, or iv) by the imposition of export restrictions on products we sell internationally. Changes in current or future laws or regulations, in the United States or elsewhere, could seriously harm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Adverse economic conditions could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Unfavorable changes in economic conditions, including recessions, inflation, turmoil in financial markets, changes caused by global crisis such as a pandemic, the ongoing conflict between Russia and Ukraine and resulting economic sanctions, conflicts in the Middle East, or other changes in economic conditions, could harm our business, results of operations, and financial conditions as a result of: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reduced demand for our products;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increased risk of order cancellations or delays;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increased pressure on the prices for our products;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greater difficulty in collecting accounts receivable;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risks to our liquidity, including the possibility that we might not have access to our cash when needed;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rising interest rates, recessionary cycles, and inflationary pressures, that could make our products more expensive or could increase our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health epidemics, impacting the markets and communities in which we, our partners and clients operate.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unable to predict whether or when any such adverse economic conditions could occur in the U.S. or other countries; and if they do occur, we cannot predict the timing, duration, or severity.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realize the anticipated benefits of our acquisitions or investments.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make acquisitions of or investments in companies that offer complementary products, services, and technologies, such as our acquisition of FortressID in December of 2021 and our investment in Omlis Limited. The ultimate success of our acquisitions depends, in part, on our ability to realize the anticipated synergies, cost savings and growth opportunities from integrating acquired businesses or assets into our existing businesses. However, the acquisition and successful integration of independent businesses or assets is a complex, costly and time-consuming process, and the benefits we realize may not exceed the costs of the acquisition. The risk and difficulties associated with acquiring and integrating companies and other assets include, among others, difficulties assimilating the operations and personnel of acquired companies, challenges in realizing the value of the acquired assets relative to the price paid, distraction of management from our ongoing businesses and potential product disruptions associated with the sale of the acquired company’s products. These factors could have a material adverse effect on our business, financial condition, operating results and cash flows. Additionally, our acquisitions have provided, in the case of Fortress ID, and may in the future provide for future contingent acquisition payments, based on the achievement of performance targets or milestones. These arrangements can impact or restrict integration of acquired businesses and can result in disputes, including litigation. In addition, there is uncertainty regarding the realizability of investments in private companies, such as our investment in Omlis Limited that was written down to $0 in 2023. Additionally, regardless of the form of consideration we pay, acquisitions and investments could negatively impact our operations and earnings per share.</w:t>
      </w:r>
    </w:p>
    <w:p>
      <w:pPr>
        <w:pStyle w:val="TextBody"/>
        <w:bidi w:val="0"/>
        <w:spacing w:before="200" w:after="283"/>
        <w:jc w:val="both"/>
        <w:rPr>
          <w:rFonts w:ascii="Times New Roman" w:hAnsi="Times New Roman"/>
          <w:sz w:val="20"/>
        </w:rPr>
      </w:pPr>
      <w:r>
        <w:rPr>
          <w:rFonts w:ascii="Times New Roman" w:hAnsi="Times New Roman"/>
          <w:b/>
          <w:i/>
          <w:color w:val="000000"/>
          <w:sz w:val="20"/>
        </w:rPr>
        <w:t>We may have additional tax liabilities.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income taxes in the United States and, in certain cases, in foreign jurisdictions. Significant judgments are required in determining our provisions for income taxes. In the course of preparing our tax provisions and returns, we must make calculations where the ultimate tax determination may be uncertain. Our tax returns are subject to examination by the Internal Revenue Service (“IRS”) and state tax authorities. There can be no assurance as to the outcome of these examinations. If the ultimate determination of taxes owed—including income taxes, value-added tax (“VAT”), goods and services tax (“GST”), or other foreign tax obligations—exceeds amounts previously accrued, our operating results, cash flows, and financial condition could be adversely affected.</w:t>
      </w:r>
    </w:p>
    <w:p>
      <w:pPr>
        <w:pStyle w:val="TextBody"/>
        <w:bidi w:val="0"/>
        <w:spacing w:before="200" w:after="283"/>
        <w:jc w:val="both"/>
        <w:rPr>
          <w:rFonts w:ascii="Times New Roman" w:hAnsi="Times New Roman"/>
          <w:sz w:val="20"/>
        </w:rPr>
      </w:pPr>
      <w:r>
        <w:rPr>
          <w:rFonts w:ascii="Times New Roman" w:hAnsi="Times New Roman"/>
          <w:b/>
          <w:i/>
          <w:color w:val="000000"/>
          <w:sz w:val="20"/>
        </w:rPr>
        <w:t>The market price of our common stock has been and may continue to be subject to wide fluctuations, and this may make it difficult for shareholders to resell the common stock when they want or at prices they find attractive.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market price of our common stock, like that of other technology companies, is volatile and is subject to wide fluctuations in response to a variety of factors,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variations in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announcements of technological innovations or new products by us or our competitors,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customer relationships, such as the loss of a key customer;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price and volume fluctuation in the overall stock market;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corporate actions we may initiate, such as acquisitions, stock sales or repurchases, dividend declarations, or corporate reorganizations.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stock price may also be affected by broader market trends unrelated to our performance. As a result, purchasers of our common stock may be unable at any given time to sell their shares at or above the price they paid for them. Moreover, companies that have experienced volatility in the market price of their stock often are subject to securities class action litigation. If we were the subject of such litigation, it could result in substantial costs and divert management's attention and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maintain effective internal controls over financial reporting, investors could lose confidence in the reliability of our financial statements, which could result in a decline in the price of our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public company, we are required to enhance and test our financial, internal and management control systems to meet obligations imposed by the Sarbanes-Oxley Act of 2002. Consistent with the Sarbanes-Oxley Act and the rules and regulations of the SEC, management's assessment of our internal controls over financial reporting is required in connection with our filing of our Annual Report on Form 10-K. If we are unable to identify, implement and conclude that we have effective internal controls over financial reporting, investors could lose confidence in the reliability of our financial statements, which could result in a decrease in the value of our common stock. Our assessment of our internal controls over financial reporting may also uncover weaknesses or other issues with these controls that could also result in adverse investor reaction.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must make judgments in the process of preparing our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prepare our financial statements in accordance with generally accepted accounting principles and certain critical accounting policies that are relevant to our business. The application of these principles and policies requires us to make significant judgments and estimates. The most significant estimates included in the financial statements pertain to revenue recognition, allowance for credit losses, valuation of acquired assets and assumed liabilities in business combinations, valuation of contingent acquisition payments, valuation of investment in note receivable, goodwill and long-lived asset impairment and valuation allowance for deferred income tax assets. Actual results could differ from those estimates. In the event that our judgments and estimates differ from actual results, we may have to change them, which could materially affect our financial position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Moreover, accounting standards have been subject to rapid change and evolving interpretations by accounting standards setting organizations over the past few years. The implementation of new accounting standards requires us to interpret and apply them appropriately. If our current interpretations or applications are later found to be incorrect, we may have to restate our financial statements and the price of our stock could decline.</w:t>
      </w:r>
    </w:p>
    <w:p>
      <w:pPr>
        <w:pStyle w:val="TextBody"/>
        <w:bidi w:val="0"/>
        <w:spacing w:before="20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officers, directors and holders of 5% of outstanding shares together beneficially own a significant portion of our common stock and, as a result, can exercise control over stockholder and corporate actions.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officers and directors and the holders of at least 5% of our outstanding shares currently beneficially own approximately 48% of our outstanding common stock, and 60% on a fully diluted basis assuming the exercise of both vested and unvested options. As such, they have a significant influence over most matters requiring approval by stockholders, including the election of directors and approval of significant corporate transactions. This concentration of ownership may also have the effect of delaying or preventing a change in control, which in turn could have a material adverse effect on the market price of our common stock or prevent stockholders from realizing a premium over the market price for their shares.</w:t>
      </w:r>
    </w:p>
    <w:p>
      <w:pPr>
        <w:pStyle w:val="TextBody"/>
        <w:bidi w:val="0"/>
        <w:spacing w:before="200" w:after="283"/>
        <w:jc w:val="both"/>
        <w:rPr/>
      </w:pPr>
      <w:r>
        <w:rPr/>
        <w:t> </w:t>
      </w:r>
    </w:p>
    <w:p>
      <w:pPr>
        <w:pStyle w:val="TextBody"/>
        <w:bidi w:val="0"/>
        <w:spacing w:before="200" w:after="283"/>
        <w:jc w:val="both"/>
        <w:rPr>
          <w:rFonts w:ascii="Times New Roman" w:hAnsi="Times New Roman"/>
          <w:sz w:val="20"/>
        </w:rPr>
      </w:pPr>
      <w:bookmarkStart w:id="4" w:name="item_1b_unresolved_staff_comments"/>
      <w:bookmarkEnd w:id="4"/>
      <w:r>
        <w:rPr>
          <w:rFonts w:ascii="Times New Roman" w:hAnsi="Times New Roman"/>
          <w:b/>
          <w:color w:val="000000"/>
          <w:sz w:val="20"/>
        </w:rPr>
        <w:t>ITEM 1B.</w:t>
      </w:r>
      <w:r>
        <w:rPr>
          <w:rFonts w:ascii="Times New Roman" w:hAnsi="Times New Roman"/>
          <w:color w:val="000000"/>
          <w:sz w:val="20"/>
        </w:rPr>
        <w:t xml:space="preserve"> </w:t>
      </w:r>
      <w:r>
        <w:rPr>
          <w:rFonts w:ascii="Times New Roman" w:hAnsi="Times New Roman"/>
          <w:b/>
          <w:caps/>
          <w:color w:val="000000"/>
          <w:sz w:val="20"/>
        </w:rPr>
        <w:t>Unresolved Staff Comments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both"/>
        <w:rPr>
          <w:rFonts w:ascii="Times New Roman" w:hAnsi="Times New Roman"/>
          <w:sz w:val="20"/>
        </w:rPr>
      </w:pPr>
      <w:r>
        <w:rPr>
          <w:rFonts w:ascii="Times New Roman" w:hAnsi="Times New Roman"/>
          <w:b/>
          <w:color w:val="000000"/>
          <w:sz w:val="20"/>
        </w:rPr>
        <w:t>ITEM 1C.</w:t>
      </w:r>
      <w:r>
        <w:rPr>
          <w:rFonts w:ascii="Times New Roman" w:hAnsi="Times New Roman"/>
          <w:color w:val="000000"/>
          <w:sz w:val="20"/>
        </w:rPr>
        <w:t xml:space="preserve"> </w:t>
      </w:r>
      <w:r>
        <w:rPr>
          <w:rFonts w:ascii="Times New Roman" w:hAnsi="Times New Roman"/>
          <w:b/>
          <w:caps/>
          <w:color w:val="000000"/>
          <w:sz w:val="20"/>
        </w:rPr>
        <w:t>CYBERSECUTIY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Cybersecurity Risk Management and Strategy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help protect the Company from a major cybersecurity incident that could have a material impact on operations or the Company’s financial results, the Company has implemented policies, programs and controls, including technology investments that focus on cybersecurity incident prevention, identification and mitigation. The steps the Company takes to reduce its vulnerability to cyberattacks and to mitigate impacts from cybersecurity incidents include, but are not limited to: establishing information security policies and standards, implementing information protection processes and technologies, monitoring its information technology systems for cybersecurity threats, assessing cybersecurity risk profiles of key third-parties, implementing cybersecurity training and collaborating with public and private organizations on cyber threat information and best practices.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implemented a Cybersecurity Policy (the “Policy”) that provides a framework for responding to cybersecurity incidents. The Policy includes requirements for incident disclosure and reporting, protocols for incident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evaluation, including the use of third-party service providers and partners, and processes for notification and internal escalation of information to the Company’s senior management, incident response team, and Board of Directors (the "Board") and appropriate Board committees. The Policy also addresses requirements for the Company’s external reporting obligations. The Plan is reviewed and updated, as necessary but no less frequently than once a year, under the leadership of the Company’s Chief Security Officer (“CSO”).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the Company did not experience a material cybersecurity incident during the year ended December 31, 2024, the scope and impact of any future incident cannot be predicted. See “Item 1A. Risk Factors” for more information on the Company’s cybersecurity-related risks.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Governance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primarily through its Audit Committee, oversees the Company’s cybersecurity program. Management regularly reports to the Audit Committee on the current state of the Company’s cybersecurity program, including the current threat landscape, cybersecurity risks, and any significant incidents. The Audit Committee may provide updates to the Board on the substance of these reports and any recommendations for improvements that the Audit Committee deems appropriate.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the management level, the Company has established written policies and procedures to ensure that significant cybersecurity incidents are immediately investigated, addressed through the coordination of various internal departments, and publicly reported, to the extent required by applicable law. </w:t>
      </w:r>
    </w:p>
    <w:p>
      <w:pPr>
        <w:pStyle w:val="TextBody"/>
        <w:bidi w:val="0"/>
        <w:spacing w:before="200" w:after="283"/>
        <w:jc w:val="both"/>
        <w:rPr>
          <w:rFonts w:ascii="Times New Roman" w:hAnsi="Times New Roman"/>
          <w:b/>
          <w:color w:val="000000"/>
          <w:sz w:val="20"/>
        </w:rPr>
      </w:pPr>
      <w:bookmarkStart w:id="5" w:name="item_2__properties"/>
      <w:bookmarkEnd w:id="5"/>
      <w:r>
        <w:rPr>
          <w:rFonts w:ascii="Times New Roman" w:hAnsi="Times New Roman"/>
          <w:b/>
          <w:color w:val="000000"/>
          <w:sz w:val="20"/>
        </w:rPr>
        <w:t>ITEM 2. PROPERTIES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lease approximately 20,730 rentable square feet in Burlington, Massachusetts, which we use as our headquarters. We believe that this facility is adequate for our current needs and for the foreseeable future. See Note 9 to our audited financial statements included elsewhere in this Annual Report on Form 10-K for more information regarding our leases.</w:t>
      </w:r>
    </w:p>
    <w:p>
      <w:pPr>
        <w:pStyle w:val="TextBody"/>
        <w:bidi w:val="0"/>
        <w:spacing w:before="200" w:after="283"/>
        <w:jc w:val="both"/>
        <w:rPr>
          <w:rFonts w:ascii="Times New Roman" w:hAnsi="Times New Roman"/>
          <w:b/>
          <w:color w:val="000000"/>
          <w:sz w:val="20"/>
        </w:rPr>
      </w:pPr>
      <w:bookmarkStart w:id="6" w:name="item_3__legal_proceedings"/>
      <w:bookmarkEnd w:id="6"/>
      <w:r>
        <w:rPr>
          <w:rFonts w:ascii="Times New Roman" w:hAnsi="Times New Roman"/>
          <w:b/>
          <w:color w:val="000000"/>
          <w:sz w:val="20"/>
        </w:rPr>
        <w:t>ITEM 3.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are involved in litigation incidental to the conduct of our business. We are not party to any lawsuit or proceeding that, in our opinion, is likely to materially impact us or our business.</w:t>
      </w:r>
    </w:p>
    <w:p>
      <w:pPr>
        <w:pStyle w:val="TextBody"/>
        <w:bidi w:val="0"/>
        <w:spacing w:before="200" w:after="283"/>
        <w:jc w:val="both"/>
        <w:rPr>
          <w:rFonts w:ascii="Times New Roman" w:hAnsi="Times New Roman"/>
          <w:sz w:val="20"/>
        </w:rPr>
      </w:pPr>
      <w:bookmarkStart w:id="7" w:name="item_4__mine_safety_disclosures"/>
      <w:bookmarkEnd w:id="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part_ii"/>
      <w:bookmarkEnd w:id="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00" w:after="283"/>
        <w:jc w:val="both"/>
        <w:rPr>
          <w:rFonts w:ascii="Times New Roman" w:hAnsi="Times New Roman"/>
          <w:b/>
          <w:color w:val="000000"/>
          <w:sz w:val="20"/>
        </w:rPr>
      </w:pPr>
      <w:bookmarkStart w:id="9" w:name="item_5_market_for_registrants_common_equ"/>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common stock is the only class of stock we have outstanding, and it trades on the Nasdaq Global Market under the symbol AWRE.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1, 2025, we had 60 shareholders of record. This number does not include shareholders who hold our shares in a “nominee” or “street” name. We paid no dividends in 2024 or 2023. We anticipate that we will continue to reinvest any earnings to finance our future operations although we may also pay special cash dividends if our Board of Directors deems it appropriate.</w:t>
      </w:r>
    </w:p>
    <w:p>
      <w:pPr>
        <w:pStyle w:val="TextBody"/>
        <w:bidi w:val="0"/>
        <w:jc w:val="both"/>
        <w:rPr/>
      </w:pPr>
      <w:r>
        <w:rPr/>
        <w:t> </w:t>
      </w:r>
    </w:p>
    <w:p>
      <w:pPr>
        <w:pStyle w:val="TextBody"/>
        <w:bidi w:val="0"/>
        <w:jc w:val="both"/>
        <w:rPr>
          <w:rFonts w:ascii="Times New Roman" w:hAnsi="Times New Roman"/>
          <w:color w:val="000000"/>
          <w:sz w:val="19"/>
        </w:rPr>
      </w:pPr>
      <w:r>
        <w:rPr>
          <w:rFonts w:ascii="Times New Roman" w:hAnsi="Times New Roman"/>
          <w:color w:val="000000"/>
          <w:sz w:val="19"/>
        </w:rPr>
        <w:t>Share repurchase activity during the three months ended December 31, 2024 was as follows: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08"/>
        <w:gridCol w:w="146"/>
        <w:gridCol w:w="146"/>
        <w:gridCol w:w="781"/>
        <w:gridCol w:w="146"/>
        <w:gridCol w:w="146"/>
        <w:gridCol w:w="236"/>
        <w:gridCol w:w="523"/>
        <w:gridCol w:w="146"/>
        <w:gridCol w:w="146"/>
        <w:gridCol w:w="403"/>
        <w:gridCol w:w="2158"/>
        <w:gridCol w:w="146"/>
        <w:gridCol w:w="146"/>
        <w:gridCol w:w="616"/>
        <w:gridCol w:w="2719"/>
        <w:gridCol w:w="193"/>
      </w:tblGrid>
      <w:tr>
        <w:trPr/>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w:t>
              <w:br/>
              <w:t>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 of Shares Purchased as Part of Publicly Announced Plans or Programs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 Number (or Approximate Dollar Value) of Shares That May Yet Be Purchased Under the Plans or Programs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through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8,182,358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through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8,062,219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through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7,975,073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reported purchases were made pursuant to a repurchase plan announced by the Company on March 22, 2022 (the “2022 Repurchase Plan”). Pursuant to the 2022 Repurchase Plan, the Company was authorized to repurchase up to $10,000,000 of its common stock from time to time through December 31, 2023. On November 30, 2023, we announced that our Board of Directors had approved the extension of the 2022 Repurchase Plan through December 31,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6. [RESERVED]</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0" w:name="item_7_managements_discussion_analysis_f"/>
      <w:bookmarkEnd w:id="10"/>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for the years indicated, certain line items from our consolidated statements of operations stated as a percentage of total revenue:</w:t>
      </w:r>
    </w:p>
    <w:p>
      <w:pPr>
        <w:pStyle w:val="TextBody"/>
        <w:bidi w:val="0"/>
        <w:jc w:val="both"/>
        <w:rPr/>
      </w:pPr>
      <w:r>
        <w:rPr/>
        <w:t> </w:t>
      </w:r>
    </w:p>
    <w:tbl>
      <w:tblPr>
        <w:tblW w:w="7294" w:type="dxa"/>
        <w:jc w:val="left"/>
        <w:tblInd w:w="0" w:type="dxa"/>
        <w:tblLayout w:type="fixed"/>
        <w:tblCellMar>
          <w:top w:w="28" w:type="dxa"/>
          <w:left w:w="28" w:type="dxa"/>
          <w:bottom w:w="28" w:type="dxa"/>
          <w:right w:w="28" w:type="dxa"/>
        </w:tblCellMar>
      </w:tblPr>
      <w:tblGrid>
        <w:gridCol w:w="4926"/>
        <w:gridCol w:w="146"/>
        <w:gridCol w:w="146"/>
        <w:gridCol w:w="421"/>
        <w:gridCol w:w="331"/>
        <w:gridCol w:w="146"/>
        <w:gridCol w:w="146"/>
        <w:gridCol w:w="421"/>
        <w:gridCol w:w="611"/>
      </w:tblGrid>
      <w:tr>
        <w:trPr/>
        <w:tc>
          <w:tcPr>
            <w:tcW w:w="4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write-off of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adjustment to contingent acquisition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Summary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primarily engaged in the development and sale of biometrics products, solutions and services. Our software products are used in government and commercial systems and applications and fulfill a broad range of functions critical to secure biometric enrollment, authentication, identification and transactions. Principal government applications of biometrics systems include border control, visa applicant screening, law enforcement, national defense, intelligence, secure credentialing, access control, and background checks. Principal commercial applications include: i) user enrollment and authentication used for login to mobile devices, computers, networks, and software programs; ii) user authentication for financial transactions and purchases (online and in-person); iii) physical access control to buildings; and iv) identity proofing of prospective employees and customers. We sell our biometrics software products and services globally through a multifaceted distribution strategy using systems integrators, OEMs, VARs, partners, and directly to end-user customers. We also derive a portion of our revenue from the sale of imaging software licenses to OEMs and systems integrators that incorporate our software into medical imaging products and medical systems.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Summary of Financial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used revenue and operating loss to summarize financial results over the past two years as we believe these measurements are the most meaningful way to understand our operating performance.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2024 compared to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and operating loss in 2024 were $17.4 million and $5.5 million, respectively, which compared to revenue and operating loss in 2023 of $18.2 million and $8.5 million,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Lower revenue in 2024 as compared to 2023 was primarily due to decreases in revenue from our perpetual software licenses of $1.2 million and software subscriptions of $0.7 million, which were partially offset by an increase in revenue from software maintenance of $0.9 million. Lower operating loss in 2024 as compared 2023 was primarily due a negative adjustment of $2.7 million to a note receivable in 2023 that did not recur in 2024 and a year-over-year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decrease in research and development expense of $1.4 million, which were partially offset by decreased revenue of $0.9 million and the impact of a 2023 fair value adjustment to contingent consideration of $0.8 million that did not recur in 2024.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Software License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license revenue consists of revenue from the sale of biometrics and imaging software products. Sales of software products depend on our ability to win proposals to supply software for biometrics systems projects either directly to end user customers or indirectly through channel partners.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license revenue decreased 18% from $9.5 million in 2023 to $7.8 million in 2024. As a percentage of total revenue, software license revenue decreased from 52% in 2023 to 45% in 2024. The $1.7 million decrease in software license revenue was primarily due to a decrease in perpetual licenses sales, which can fluctuate from period to period. With the introduction of AwareID, we have incorporated SaaS offering into our product line-up. For the year ended December 31, 2024 we generated $0.1 million of revenue from SaaS contracts compared to a de minimis amount for the year ended December 31, 2023. We expect SaaS revenue to continue to grow as a component of software license revenue going forward.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Software Maintenance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maintenance revenue consists of revenue from the sale of software maintenance contracts. Software maintenance contracts entitle customers to receive software support and software updates, if and when they become available, during the term of the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maintenance revenue increased 12% from $7.7 million in 2023 to $8.6 million in 2024. As a percentage of total revenue, software maintenance revenue increased from 42% in 2023 to 49% in 2024. The dollar increase in software maintenance revenue was primarily due to software maintenance related to perpetual license sales during the second half of 2023 as well as for the year ended December 31,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majority of our customers purchase software maintenance contracts when they initially purchase software licenses. Since our software is used in active biometrics systems, many of our customers continue to renew their maintenance contracts in subsequent years while systems remain operational.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Services and Other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Services revenue consists of fees we charge to perform software development, integration, installation, and customization services. Similar to software license revenue, services revenue depends on our ability to win biometrics systems projects either directly with end user customers or in conjunction with channel partners. Other revenue consists of hardware fees that are included with some of our software licenses. Services and other revenue fluctuate when we commence new projects and/or when we complete projects that were started in previous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Services and other revenue was $1.0 million for the years ended December 2024 and 2023. As a percentage of total revenue, services and other revenue was 6% in each of 2024 and 2023.</w:t>
      </w:r>
    </w:p>
    <w:p>
      <w:pPr>
        <w:pStyle w:val="TextBody"/>
        <w:bidi w:val="0"/>
        <w:spacing w:before="200" w:after="283"/>
        <w:jc w:val="both"/>
        <w:rPr>
          <w:rFonts w:ascii="Times New Roman" w:hAnsi="Times New Roman"/>
          <w:sz w:val="20"/>
        </w:rPr>
      </w:pPr>
      <w:r>
        <w:rPr>
          <w:rFonts w:ascii="Times New Roman" w:hAnsi="Times New Roman"/>
          <w:b/>
          <w:i/>
          <w:color w:val="000000"/>
          <w:sz w:val="20"/>
        </w:rPr>
        <w:t>Cost of Services and Other Revenue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 of services and other revenue consists primarily of engineering costs to perform customer services projects. Such costs primarily include: i) engineering salaries, stock-based compensation, fringe benefits, and facilities; ii) engineering consultants and contractors; iii) software license fees; and iv) hardware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 of services and other revenue decreased 11% from $1.3 million in 2023 to $1.1 million in 2024. When compared to services and other revenue, cost of services and other revenue as a percentage decreased from 122% in 2023 to 110% in 2024, which resulted in reduced gross margin loss from 22% in 2023 to 10% gross margin loss in 2024. The change in cost of services gross margin loss was primarily due to the profitability mix of customer projects.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margins on services and other revenue are a function of: i) the nature of the projects; ii) the level of engineering difficulty and labor hours required to complete project tasks; and iii) how much we were able to charge. Gross margins in these years reflect the profitability mix of customer projects. We expect that gross margins on services and other revenue will continue to fluctuate in future periods based on the nature, complexity, and pricing of future projects.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 consists of costs for: i) engineering personnel, including salaries, stock-based 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classification of total engineering costs to research and development expense and cost of services for the years ended December 31, 2024 and 2023 was (in thousands):</w:t>
      </w:r>
    </w:p>
    <w:p>
      <w:pPr>
        <w:pStyle w:val="TextBody"/>
        <w:bidi w:val="0"/>
        <w:jc w:val="both"/>
        <w:rPr/>
      </w:pPr>
      <w:r>
        <w:rPr/>
        <w:t> </w:t>
      </w:r>
    </w:p>
    <w:tbl>
      <w:tblPr>
        <w:tblW w:w="5514" w:type="dxa"/>
        <w:jc w:val="left"/>
        <w:tblInd w:w="0" w:type="dxa"/>
        <w:tblLayout w:type="fixed"/>
        <w:tblCellMar>
          <w:top w:w="28" w:type="dxa"/>
          <w:left w:w="28" w:type="dxa"/>
          <w:bottom w:w="28" w:type="dxa"/>
          <w:right w:w="28" w:type="dxa"/>
        </w:tblCellMar>
      </w:tblPr>
      <w:tblGrid>
        <w:gridCol w:w="3016"/>
        <w:gridCol w:w="146"/>
        <w:gridCol w:w="211"/>
        <w:gridCol w:w="571"/>
        <w:gridCol w:w="146"/>
        <w:gridCol w:w="146"/>
        <w:gridCol w:w="211"/>
        <w:gridCol w:w="676"/>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engineering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engineering costs decreased 15% from $10.4 million in 2023 to $8.9 million in 2024. As a percentage of total revenue, total engineering costs decreased from 57% in 2023 to 51% in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engineering headcount decreased from 42 in 2023 to 33 in 2024. The decrease in engineering costs is primarily a result of reducing our engineering headcount by approximately 10% in 2023 and 20% in 2024. The reduction was driven by strategic initiatives to optimize resources, improve operational efficiency, and align our engineering capabilities with current business priorities. We believe our current engineering organization is adequately staffed to support our product roadmap, customer commitments, and innovation efforts.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we described in the Part I—Business of this Form 10-K, we intend to introduce new products that will allow us to offer more complete biometrics solutions. We believe this strategy will allow us to sell more software into biometrics systems projects in order to grow our revenue. Our preference is to develop such products internally, however to the extent we are unable to do that, we may purchase or license technologies from third parties. We anticipate that we will continue to focus our future research and development activities on enhancing existing products and developing new products. We expect research and development expenses to decrease in absolute dollars and as a percentage of revenues in the next year and then to increase in absolute dollars in proceeding years.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Selling and Marketing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and marketing expense primarily consists of costs for: i) sales and marketing personnel, including salaries, sales commissions, stock-based compensation, fringe benefits, travel, and facilities; and ii) advertising and promotion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Selling and marketing expense decreased 3% from $8.0 million in 2023 to $7.7 million in 2024. As a percentage of total revenue, selling and marketing expense was 44% in both 2024 and 2023. The dollar decrease in selling and marketing expense was primarily due to decreased bonus and commission expense of $0.2 million as a result of decreased revenue. We expect to be strategic in expanding our sales and marketing force to pursue future opportunities.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 consists primarily of costs for: i) officers, directors and administrative 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General and administrative expense decreased 3% from $6.5 million in 2023 to $6.4 million in 2024. As a percentage of total revenue, general and administrative expense increased from 36% in 2023 to 37% in 2024. While we expect general and administrative expenses to increase in absolute terms as we continue to invest in our business, the trajectory of these costs as a percentage of total revenue will depend on revenue growth. Future trends will be influenced by our ability to scale operations efficiently and drive revenue expansion</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adjustment to note receivable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2022, we entered into a subscription agreement with Omlis Limited, a limited company incorporated and registered in England and Wales and the parent of MIRACL (“Omlis”). We purchased $2.5 million of Omlis’ Note Receivable (“Note”) that accrues interest at 5% annually with a maturity date of March 11, 2026. </w:t>
      </w:r>
    </w:p>
    <w:p>
      <w:pPr>
        <w:pStyle w:val="TextBody"/>
        <w:bidi w:val="0"/>
        <w:jc w:val="both"/>
        <w:rPr>
          <w:rFonts w:ascii="Times New Roman" w:hAnsi="Times New Roman"/>
          <w:color w:val="000000"/>
          <w:sz w:val="20"/>
        </w:rPr>
      </w:pPr>
      <w:r>
        <w:rPr>
          <w:rFonts w:ascii="Times New Roman" w:hAnsi="Times New Roman"/>
          <w:color w:val="000000"/>
          <w:sz w:val="20"/>
        </w:rPr>
        <w:t>We recorded the fair value of the Note as $0 as of both December 31, 2024 and 2023 as a result of our evaluation of the impact of Omlis's liquidity issues on the collectability of the Note. In addition, in January 2024, Omlis and MIRACL petitioned to enter the United Kingdom administration process, which remains ongoing, adding to our unlikely recoverability of the Note's carrying value.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adjustment to contingent acquisition payment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December 2021, we acquired 100% of the outstanding shares and acquired all of the assets and liabilities of FortressID for a purchase price of $3.4 million, which consisted of $2.5 million of cash consideration and contingent acquisition payments which was fair valued at $0.9 million at the acquisition date. The maximum contingent acquisition payments at the time of the acquisition were $4.0 million, which consisted of a cash payment of up to $2.0 million for the achievement of set revenue targets in 2022 and an additional $2.0 million cash payment for the achievement of set revenue targets in 2023. No revenue targets were achieved and the earnout period was closed as of December 31, 2023. We recorded a fair value adjustment of $0.8 million to contingent acquisition payment for the year ended December 31, 2023.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Interest income decreased from $1.3 million in 2023 to $1.2 million in 2024. The dollar decrease in interest income was primarily due to lower interest rates within our money market accounts.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income tax expense for the years ended December 31, 2024 and 2023 was $65 thousand and $59 thousand, respectively. The income tax expense for both years relates to limitations on the usage of net operating loss carryforwards generated in years beginning after December 31, 2017.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recent years, we have financed the company with our cash and cash equivalent balances. Cash flows from operating, investing and financing activities are described below.</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Cash flows from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discussion of cash flow from operating activities for each of the last two years is as follows: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Year ended December 31, 2024. </w:t>
      </w:r>
      <w:r>
        <w:rPr>
          <w:rFonts w:ascii="Times New Roman" w:hAnsi="Times New Roman"/>
          <w:color w:val="000000"/>
          <w:sz w:val="20"/>
        </w:rPr>
        <w:t>Cash used in operating activities was $3.2 million in 2024, which was primarily the result of a $4.4 million net loss and $0.6 million of working capital adjustments, which was partially offset by $0.6 million of depreciation and amortization expense and $1.1 million of non-cash stock-based compensation.</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Year ended December 31, 2023. </w:t>
      </w:r>
      <w:r>
        <w:rPr>
          <w:rFonts w:ascii="Times New Roman" w:hAnsi="Times New Roman"/>
          <w:color w:val="000000"/>
          <w:sz w:val="20"/>
        </w:rPr>
        <w:t>Cash provided by operating activities was $1.8 million in 2023. Cash provided by operations was primarily the result of a $2.4 million decrease in unbilled and accounts receivables, a $1.8 million increase in deferred revenue, add back of $1.5 million of non-cash stock-based compensation, $2.7 million write-off of Note, and $1.4 million related to a tax refund received as a result of our federal income tax carryback claim, which was partially offset by our $7.3 million net loss and a $0.8 million change in the fair value of contingent acquisition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Cash flows from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discussion of cash flow from investing activities for each of the last two years is as follows:</w:t>
      </w:r>
    </w:p>
    <w:p>
      <w:pPr>
        <w:pStyle w:val="TextBody"/>
        <w:bidi w:val="0"/>
        <w:spacing w:before="200" w:after="283"/>
        <w:jc w:val="both"/>
        <w:rPr>
          <w:rFonts w:ascii="Times New Roman" w:hAnsi="Times New Roman"/>
          <w:sz w:val="20"/>
        </w:rPr>
      </w:pPr>
      <w:r>
        <w:rPr>
          <w:rFonts w:ascii="Times New Roman" w:hAnsi="Times New Roman"/>
          <w:i/>
          <w:color w:val="000000"/>
          <w:sz w:val="20"/>
        </w:rPr>
        <w:t>Year ended December 31, 2024.</w:t>
      </w:r>
      <w:r>
        <w:rPr>
          <w:rFonts w:ascii="Times New Roman" w:hAnsi="Times New Roman"/>
          <w:color w:val="000000"/>
          <w:sz w:val="20"/>
        </w:rPr>
        <w:t xml:space="preserve"> Investing activity provided $6.3 million of cash, primarily as the result of net sales of marketable securities.</w:t>
      </w:r>
    </w:p>
    <w:p>
      <w:pPr>
        <w:pStyle w:val="TextBody"/>
        <w:bidi w:val="0"/>
        <w:spacing w:before="200" w:after="283"/>
        <w:jc w:val="both"/>
        <w:rPr>
          <w:rFonts w:ascii="Times New Roman" w:hAnsi="Times New Roman"/>
          <w:sz w:val="20"/>
        </w:rPr>
      </w:pPr>
      <w:r>
        <w:rPr>
          <w:rFonts w:ascii="Times New Roman" w:hAnsi="Times New Roman"/>
          <w:i/>
          <w:color w:val="000000"/>
          <w:sz w:val="20"/>
        </w:rPr>
        <w:t>Year ended December 31, 2023.</w:t>
      </w:r>
      <w:r>
        <w:rPr>
          <w:rFonts w:ascii="Times New Roman" w:hAnsi="Times New Roman"/>
          <w:color w:val="000000"/>
          <w:sz w:val="20"/>
        </w:rPr>
        <w:t xml:space="preserve"> Investing activity used of $3.1 million of cash, primarily as the result of net purchases of marketable securities.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Cash flows from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discussion of cash flow from financing activities for each of the last two years is as follows:</w:t>
      </w:r>
    </w:p>
    <w:p>
      <w:pPr>
        <w:pStyle w:val="TextBody"/>
        <w:bidi w:val="0"/>
        <w:spacing w:before="200" w:after="283"/>
        <w:jc w:val="both"/>
        <w:rPr>
          <w:rFonts w:ascii="Times New Roman" w:hAnsi="Times New Roman"/>
          <w:sz w:val="20"/>
        </w:rPr>
      </w:pPr>
      <w:r>
        <w:rPr>
          <w:rFonts w:ascii="Times New Roman" w:hAnsi="Times New Roman"/>
          <w:i/>
          <w:color w:val="000000"/>
          <w:sz w:val="20"/>
        </w:rPr>
        <w:t>Year ended December 31, 2024.</w:t>
      </w:r>
      <w:r>
        <w:rPr>
          <w:rFonts w:ascii="Times New Roman" w:hAnsi="Times New Roman"/>
          <w:color w:val="000000"/>
          <w:sz w:val="20"/>
        </w:rPr>
        <w:t xml:space="preserve"> Financing activity cash used of $0.2 million was primarily the result of $0.2 million used to buy back stock under our stock repurchase program, which was partially offset by $0.1 million of proceeds from the issuance of common stock from stock grants. </w:t>
      </w:r>
    </w:p>
    <w:p>
      <w:pPr>
        <w:pStyle w:val="TextBody"/>
        <w:bidi w:val="0"/>
        <w:spacing w:before="200" w:after="283"/>
        <w:jc w:val="both"/>
        <w:rPr>
          <w:rFonts w:ascii="Times New Roman" w:hAnsi="Times New Roman"/>
          <w:sz w:val="20"/>
        </w:rPr>
      </w:pPr>
      <w:r>
        <w:rPr>
          <w:rFonts w:ascii="Times New Roman" w:hAnsi="Times New Roman"/>
          <w:i/>
          <w:color w:val="000000"/>
          <w:sz w:val="20"/>
        </w:rPr>
        <w:t>Year ended December 31, 2023.</w:t>
      </w:r>
      <w:r>
        <w:rPr>
          <w:rFonts w:ascii="Times New Roman" w:hAnsi="Times New Roman"/>
          <w:color w:val="000000"/>
          <w:sz w:val="20"/>
        </w:rPr>
        <w:t xml:space="preserve"> Financing activity cash used of $0.4 million was primarily the result of $0.5 million used to buy back stock under our stock repurchase program, which was partially offset by $0.1 million of proceeds from the issuance of common stock from stock grants.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December 31, 2024, we had cash, cash equivalents, and marketable securities of $27.8 million. While we cannot assure you that we will not require additional financing, or that if needed such financing will be available to us, we believe that our cash, cash equivalents, and marketable securities will be sufficient to fund our operations for at least the next twelve months from the filing date of this Annual Report on Form 10-K and to meet our known long-term cash requirements including operating expenses, contractual obligations, and planned strategic investments. Whether these resources are adequate to meet our liquidity needs beyond that period will depend on our future growth, operating results, and the investments needed to support our operations. If we require additional capital resources, we may utilize available funds or seek additional external financing.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2024, our material cash requirements from known contractual and other obligations consisted of payments under the operating lease for our corporate headquarters, which we estimate will be approximately $0.7 million in each of 2025, 2026, and 2027, approximately $0.8 million in 2028 and 2029, and $2.7 million thereafter. See Note 9 to our consolidated financial statements included elsewhere in this Annual Report on Form 10-K for more information on our operating lease.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enter into agreements in the ordinary course of business that require us: i) to perform under the terms of the contracts, ii) to protect the confidentiality of our customers’ intellectual property, and iii) to indemnify customers, including indemnification against third party claims alleging infringement of intellectual property rights. We also have agreements with each of our directors and executive officers to indemnify such directors or executive officers, to the extent legally permissible, against all liabilities reasonably incurred in connection with any action in which such individual may be involved by reason of such individual being or having been a director or officer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Given the nature of the above obligations and agreements, we are unable to make a reasonable estimate of the maximum potential amount that we could be required to pay. Historically, we have not made any significant payments on the above guarantees and indemnifications and no amount has been accrued in the audited financial statements included elsewhere in this Annual Report on Form 10-K with respect to these guarantees and indemnifications.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inflation has not had a material impact on our financial results. There can be no assurance, however, that inflation will not adversely affect our financial results in the future.</w:t>
      </w:r>
    </w:p>
    <w:p>
      <w:pPr>
        <w:pStyle w:val="TextBody"/>
        <w:bidi w:val="0"/>
        <w:spacing w:before="200" w:after="283"/>
        <w:jc w:val="both"/>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currently have any arrangements with unconsolidated entities, such as entities often referred to as structured finance, special purpose entities, or variable interest entities which are often established for the purpose of facilitating off-balance sheet arrangements or other contractually narrow or limited purposes. Accordingly, we are not exposed to any financing, liquidity, market or credit risk.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significant accounting policies are discussed in Note 2, Summary of Significant Accounting Policies, to our financial statements, included elsewhere in this Annual Report. </w:t>
      </w:r>
      <w:r>
        <w:rPr>
          <w:rFonts w:ascii="Times New Roman" w:hAnsi="Times New Roman"/>
          <w:i/>
          <w:color w:val="000000"/>
          <w:sz w:val="20"/>
        </w:rPr>
        <w:t>We have identified the following as our significant accounting policies and estimates, which are defined as those that are reflective of significant judgments and uncertainties, are the most pervasive and important to the presentation of our financial condition and results of operations and could potentially result in materially different results under different assumptions, judgments or conditions.</w:t>
      </w:r>
    </w:p>
    <w:p>
      <w:pPr>
        <w:pStyle w:val="TextBody"/>
        <w:bidi w:val="0"/>
        <w:spacing w:before="200" w:after="283"/>
        <w:jc w:val="both"/>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In accordance with Accounting Standards Codification (“ASC”), Topic 606, Revenue from Contracts with Customers (“ASC 606”), revenue is recognized when a customer obtains control of promised goods and services. The amount of revenue recognized reflects the consideration to which we expect to be entitled to receive in exchange for these goods and services. In addition, ASC 606 requires disclosures of the nature, amount, timing, and uncertainty of revenue and cash flows arising from contracts with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core principle of the standard is that we should recognize revenue to depict the transfer of promised goods or services to customers in an amount that reflects the consideration to which we expect to be entitled in exchange for those goods or services. To achieve that core principle, we apply the following five step model: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 the contract with the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 the performance obligations in the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Allocate the transaction price to the performance obligations in the contract;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Recognize revenue when (or as) each performance obligation is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categorize revenue as software licenses, software maintenance, or services and other revenue. Revenue from software licenses is recognized at a point in time upon delivery, provided all other revenue recognition criteria are met. We recognize software maintenance revenue over time on a straight-line basis over the contract period. Services revenue is recognized over time as the services are delivered using an input method (i.e., labor hours incurred as a percentage of total labor hours budgeted), provided all other revenue recognition criteria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selling software licenses, software maintenance and software services on a standalone basis, a significant portion of our contracts include multiple performance obligations, which require an allocation of the transaction price to each distinct performance obligation based on a relative standalone selling price (“SSP”) basis.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amounts to estimate SSP when we sell each of the goods and services separately and need to determine whether there is a discount that needs to be allocated based on the relative SSP of the various goods and services.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customers and circumstances. In these instances, we may use information such as the nature of the customer and distribution channel in determining the SSP.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software licenses and significant customization engineering services are sold together, they are accounted for as a combined performance obligation, as the software licenses are generally highly dependent on, and interrelated with, the associated customization services and therefore are not distinct performance obligations. Revenue for the combined performance obligation is recognized over time as the services are delivered using an input method (i.e., labor hours incurred as a percentage of total labor hours budgeted).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When subscription-based software is sold, the software license and software maintenance are generally considered distinct performance obligations. The transaction price is allocated to the software license and the software maintenance based on relative SSP. We sell our software subscription license for a fixed fee or a subscription-based royalty fee, sometimes subject to a minimum guarantee. When the amount is in the form of a fixed fee, including the guaranteed minimum usage-based royalty, revenue allocated to the software license is recognized at a point in time upon delivery, provided all other revenue recognition criteria are met. Any royalties not subject to the guaranteed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minimum or earned in excess of the minimum amount are recognized as revenue when the subsequent usage occurs. Revenue allocated to the software maintenance is recognized over the contract term.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Also, with the delivery of our current products in a hosted environment with AwareID, we recognize revenue from our SaaS arrangements ratably over the subscription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arrangements can include variable fees, such as the option to purchase additional usage of a previously delivered software license. We may also provide pricing concessions to clients, a business practice that also gives rise to variable fees in contracts. For variable fees arising from the client’s purchase of additional usage of a previously delivered software license, we apply the sales and usage-based royalties guidance related to a license of intellectual property and recognizes the revenue in the period the underlying sale or usage occurs. We include variable fees in the determination of total transaction price if it is not probable that a future significant reversal of revenue will occur. We use the expected value or most likely value amount, whichever is more appropriate for specific circumstances, to estimate variable consideration, and the estimates are based on the level of historical price concessions offered to clients.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of consideration is not adjusted for a significant financing component if the time between payment and the transfer of the related good or service is expected to be one year or less under the practical expedient in ASC 606-10-32-18. Our revenue arrangements are typically accounted for under such expedient, as payment is typically due within 30 to 60 days. As of December 31, 2024 and 2023, none of our contracts contained a significant financing component.</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Goodwill and intangible assets impairment. </w:t>
      </w:r>
      <w:r>
        <w:rPr>
          <w:rFonts w:ascii="Times New Roman" w:hAnsi="Times New Roman"/>
          <w:color w:val="000000"/>
          <w:sz w:val="20"/>
        </w:rPr>
        <w:t xml:space="preserve">Our goodwill and intangible assets result from our previous business acquisitions. Goodwill and intangible assets with indefinite useful lives are not amortized but are tested for impairment at least annually or as circumstances indicate their value may no longer be recoverable. We do not carry any intangible assets with indefinite useful lives other than goodwill. We perform our annual goodwill impairment test in the fourth quarter. To assess if goodwill is impaired, we first review qualitative factors to determine whether further impairment testing is necessary. If based on the qualitative assessment, we consider it more-likely-than-not that our reporting units fair value is less than its carrying amount, we perform a quantitative impairment test. An excess of carrying value over fair value would indicate that goodwill may be impaired.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periodically reevaluate our business and have determined that we have one operating segment and one reporting unit. If our assumptions change in the future, we may be required to record impairment charges to reduce our goodwill carrying value.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indicators of impairment are present, we compare the estimated undiscounted cash flows that the asset is expected to generate to the carrying value. The key assumptions of the cash flow model involve significant subjectivity. If such assets are impaired, an impairment is measured by the amount by which the carrying amount of the asset exceeds its fair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2024 and 2023, we had $3.1 million of goodwill. As of December 31, 2024 and 2023, we had $2.0 million and $2.4 million of intangible assets, respectively. Impairment in the valuation of long-lived assets could materially impact our operating results and financial position. To date, there have been no impairments of goodwill or intangible assets.</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Stock-Based Compensation. </w:t>
      </w:r>
      <w:r>
        <w:rPr>
          <w:rFonts w:ascii="Times New Roman" w:hAnsi="Times New Roman"/>
          <w:color w:val="000000"/>
          <w:sz w:val="20"/>
        </w:rPr>
        <w:t xml:space="preserve">We grant stock and stock options to our employees and directors. We measure stock-based compensation cost at the grant date based on the fair value of the award and recognize it as expense over the applicable vesting period of the award on a straight-line basis.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stock awards, we determine the fair value of the award by using the fair market value of our stock on the date of grant; provided the number of shares in the grant is fixed on the grant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stock options, we use the Black-Scholes valuation model to estimate fair value. This model considers both observable inputs and assumptions. Observable inputs include the exercise price of the award and the risk-free interest rate over the expected term. Assumptions used in the valuation include the expected term of the option, the expected volatility of our stock over the expected term, and our expected annual dividend yield.</w:t>
      </w:r>
    </w:p>
    <w:p>
      <w:pPr>
        <w:pStyle w:val="TextBody"/>
        <w:bidi w:val="0"/>
        <w:spacing w:before="20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As part of the process of preparing our consolidated financial statements we are required to estimate our actual current tax expense. We must also estimate temporary and permanent differences that result from differing treatment of certain items for tax and accounting purposes. These differences result in deferred tax assets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liabilities, which are included in our consolidated balance sheet. We must then assess the likelihood that our deferred tax assets will be recovered from future taxable income and to the extent we believe recovery is not likely, we must establish a valuation allowance.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Coronavirus Aid, Relief and Economic Security Act (“CARES Act”) was signed into law on March 27, 2020. The Act contained specific relief and stimulus measures including allowing net operating losses originating in 2018 through 2020 to be carried back five years to offset taxable income in the carryback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Management judgment is required in determining our provision for income taxes, our deferred tax assets, and any valuation allowance recorded against our net deferred tax assets. Our deferred tax assets primarily relate to: i) research and development tax credit carryforwards; ii) net operating loss carryforwards; and iii) temporary differences that result from differing treatment of certain items for tax and accounting purposes. As of December 31, 2024, we had a total of $13.7 million of deferred tax assets and $0.5 million of deferred tax liabilities for which we have recorded a $13.2 million valuation allowance. As of December 31, 2023, we had a total of $13.0 million of deferred tax assets and $0.5 million of deferred tax liabilities for which we have recorded a $12.5 million valuation allowance.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will continue to assess the level of valuation allowance required in future periods. Should evidence regarding the realizability of tax assets change at a future point in time, the valuation allowance will be adjusted accordingly. </w:t>
      </w:r>
    </w:p>
    <w:p>
      <w:pPr>
        <w:pStyle w:val="TextBody"/>
        <w:bidi w:val="0"/>
        <w:spacing w:before="200" w:after="283"/>
        <w:jc w:val="both"/>
        <w:rPr>
          <w:rFonts w:ascii="Times New Roman" w:hAnsi="Times New Roman"/>
          <w:sz w:val="20"/>
        </w:rPr>
      </w:pPr>
      <w:r>
        <w:rPr>
          <w:rFonts w:ascii="Times New Roman" w:hAnsi="Times New Roman"/>
          <w:b/>
          <w:i/>
          <w:color w:val="000000"/>
          <w:sz w:val="20"/>
        </w:rPr>
        <w:t>Allowance for credit losses.</w:t>
      </w:r>
      <w:r>
        <w:rPr>
          <w:rFonts w:ascii="Times New Roman" w:hAnsi="Times New Roman"/>
          <w:color w:val="000000"/>
          <w:sz w:val="20"/>
        </w:rPr>
        <w:t xml:space="preserve"> We make judgments as to our ability to collect outstanding and unbilled receivables to reflect any estimated credit losses. The allowance is evaluated each quarter on a customer by customer basis and considers historical write-off experience with each customer, the number of days that any delinquent invoices are past due, and an evaluation of the potential risk of loss associated with any delinquent accounts. If the judgments we make to determine the allowance for credit losses do not reflect the future ability to collect outstanding receivables, additional provisions for credit losses may be required.</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Recent Accounting Pronouncements. </w:t>
      </w:r>
      <w:r>
        <w:rPr>
          <w:rFonts w:ascii="Times New Roman" w:hAnsi="Times New Roman"/>
          <w:color w:val="000000"/>
          <w:sz w:val="20"/>
        </w:rPr>
        <w:t>In November 2023, the Financial Accounting Standards Board (“FASB”) issued Accounting Standard Update (“ASU”) No. 2023-07, Segment Reporting (Topic 280): Improvements to Reportable Segment Disclosures, which requires retrospective disclosure of significant segment expenses and other segment items on an annual and interim basis. Additionally, it requires disclosure of the title and position of the Chief Operating Decision Maker (“CODM”). This ASU is effective for the Company’s fiscal December 31, 2024 year-end and interim periods beginning in fiscal 2025, with early adoption permitted. The Company adopted this standard as of January 1, 2024 and the adoption did not have a material impact on the Company’s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requires an annual tabular effective tax rate reconciliation disclosure including information for specified categories and jurisdiction levels, as well as, disclosure of income taxes paid, net of refunds received, disaggregated by federal, state/local, and significant foreign jurisdiction. This ASU will be effective for the Company’s fiscal December 31, 2025 year-end, with early adoption permitted. We are assessing the impact of the standard on our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8_financial_statements_supplementar"/>
      <w:bookmarkEnd w:id="11"/>
      <w:r>
        <w:rPr>
          <w:rFonts w:ascii="Times New Roman" w:hAnsi="Times New Roman"/>
          <w:b/>
          <w:color w:val="000000"/>
          <w:sz w:val="20"/>
        </w:rPr>
        <w:t>ITEM 8. FINANCIAL STATEMENTS AND SUPPLEMENTARY DATA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Report of Independent Registered Public Accounting Firm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Aware, Inc.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Aware, Inc. and its subsidiaries (the Company) as of December 31, 2024 and 2023, the related consolidated statements of operations and comprehensive loss, stockholders’ equity, and cash flows for each of the years then ended, and the related notes to the consolidated financial statements (collectively, the financial statements). In our opinion, the financial statements present fairly, in all material respects, the financial position of the Company as of December 31, 2024 and 2023, and the results of its operations and its cash flows for each of the years then ended, in conformity with accounting principles generally accepted in the United States of America.</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b/>
          <w:color w:val="242021"/>
          <w:sz w:val="20"/>
        </w:rPr>
      </w:pPr>
      <w:r>
        <w:rPr>
          <w:rFonts w:ascii="Times New Roman" w:hAnsi="Times New Roman"/>
          <w:b/>
          <w:color w:val="242021"/>
          <w:sz w:val="20"/>
        </w:rPr>
        <w:t>Critical Audit Matters</w:t>
      </w:r>
    </w:p>
    <w:p>
      <w:pPr>
        <w:pStyle w:val="TextBody"/>
        <w:bidi w:val="0"/>
        <w:jc w:val="left"/>
        <w:rPr>
          <w:rFonts w:ascii="Times New Roman" w:hAnsi="Times New Roman"/>
          <w:color w:val="242021"/>
          <w:sz w:val="20"/>
        </w:rPr>
      </w:pPr>
      <w:r>
        <w:rPr>
          <w:rFonts w:ascii="Times New Roman" w:hAnsi="Times New Roman"/>
          <w:color w:val="242021"/>
          <w:sz w:val="20"/>
        </w:rPr>
        <w:t>The critical audit matter communicated below is a matter arising from the current period audit of the financial statements that was communicated or required to be communicated to the audit committee and that: (1) related to accounts or disclosures that are material to the financial statements and (2) 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described in Note 2 to the financial statements, the Company recognizes revenue when a customer obtains control of promised goods and services. The amount of revenue recognized reflects the consideration which the Company expects to be entitled to receive in exchange for these goods and services. The Company offers customers the ability to purchase combinations of software licenses, software maintenance, and related professional services together in one arrangement. The Company must determine which promises are distinct performance obligations and allocate the revenue to the performance obligations that are considered distinct based upon their relative Stand-alone Selling Price (SSP). Revenue allocated to software licenses is typically recognized at a point in time upon delivery and revenue allocated to the software maintenance and professional services is recognized over time, provided all other revenue recognition criteria are met. Management applies significant judgment in determining the revenue recognition for these contracts including the identification of and accounting for all performance obligations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calculation of the SSP for each identified performance obligation. The Company’s identification of performance obligations and estimate of SSP for each performance obligation identified within these customer contracts requires management to consider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 of whether products and services are considered distinct performance obligations that should be accounted for separately versus together, such as software maintenance or professional services that are sold with software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Determination of stand-alone selling prices for each distinct performance obligation. </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Given these factors, the related audit effort in evaluating management’s judgments in identifying performance obligations and estimating SSP’s for these customer agreements was extensive and required a high degree of auditor judgment. </w:t>
      </w:r>
    </w:p>
    <w:p>
      <w:pPr>
        <w:pStyle w:val="TextBody"/>
        <w:bidi w:val="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financial statements. Our procedures related to the Company’s identification of performance obligations and estimation of SSP’s for these customer agreements included,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management’s significant accounting policies related to these customer agreements for reasonableness.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obtained and read revenue contracts and evaluated the completeness of the performance obligations identified by management, and performed an evaluation of whether these performance obligations were distinct and capable of being distinct.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management’s process used to determine the SSP’s by evaluating the models, including testing the accuracy and completeness of data used, and reasonableness of assumptions applied by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contract with multiple performance obligations, we also tested the allocation of the transaction price to each performance obligation based upon the SSP.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RSM US LLP</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2012.</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March 13,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12" w:name="consolidated_balance_sheets"/>
      <w:bookmarkEnd w:id="12"/>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8289" w:type="dxa"/>
        <w:jc w:val="left"/>
        <w:tblInd w:w="0" w:type="dxa"/>
        <w:tblLayout w:type="fixed"/>
        <w:tblCellMar>
          <w:top w:w="28" w:type="dxa"/>
          <w:left w:w="28" w:type="dxa"/>
          <w:bottom w:w="28" w:type="dxa"/>
          <w:right w:w="28" w:type="dxa"/>
        </w:tblCellMar>
      </w:tblPr>
      <w:tblGrid>
        <w:gridCol w:w="5301"/>
        <w:gridCol w:w="146"/>
        <w:gridCol w:w="211"/>
        <w:gridCol w:w="781"/>
        <w:gridCol w:w="166"/>
        <w:gridCol w:w="146"/>
        <w:gridCol w:w="211"/>
        <w:gridCol w:w="736"/>
        <w:gridCol w:w="591"/>
      </w:tblGrid>
      <w:tr>
        <w:trPr/>
        <w:tc>
          <w:tcPr>
            <w:tcW w:w="5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Unbilled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contingent liabilities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$1.00 par value; 1,000,000 shares authorized,</w:t>
              <w:br/>
              <w:t>   none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$.01 par value; 70,000,000 shares</w:t>
              <w:br/>
              <w:t>   authorized; 21,096,580 and 21,018,162 shares</w:t>
              <w:br/>
              <w:t>   issued and outstanding as of December 31,</w:t>
              <w:br/>
              <w:t>   2024 and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13" w:name="consolidated_statements_operations"/>
      <w:bookmarkEnd w:id="13"/>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both"/>
        <w:rPr/>
      </w:pPr>
      <w:r>
        <w:rPr/>
        <w:t> </w:t>
      </w:r>
    </w:p>
    <w:tbl>
      <w:tblPr>
        <w:tblW w:w="7947" w:type="dxa"/>
        <w:jc w:val="left"/>
        <w:tblInd w:w="0" w:type="dxa"/>
        <w:tblLayout w:type="fixed"/>
        <w:tblCellMar>
          <w:top w:w="28" w:type="dxa"/>
          <w:left w:w="28" w:type="dxa"/>
          <w:bottom w:w="28" w:type="dxa"/>
          <w:right w:w="28" w:type="dxa"/>
        </w:tblCellMar>
      </w:tblPr>
      <w:tblGrid>
        <w:gridCol w:w="4926"/>
        <w:gridCol w:w="146"/>
        <w:gridCol w:w="229"/>
        <w:gridCol w:w="734"/>
        <w:gridCol w:w="180"/>
        <w:gridCol w:w="158"/>
        <w:gridCol w:w="229"/>
        <w:gridCol w:w="734"/>
        <w:gridCol w:w="611"/>
      </w:tblGrid>
      <w:tr>
        <w:trPr/>
        <w:tc>
          <w:tcPr>
            <w:tcW w:w="4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write-off of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adjustment to contingent acquisition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 for 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14" w:name="consolidated_statements_cash_flows"/>
      <w:bookmarkEnd w:id="14"/>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8532" w:type="dxa"/>
        <w:jc w:val="left"/>
        <w:tblInd w:w="0" w:type="dxa"/>
        <w:tblLayout w:type="fixed"/>
        <w:tblCellMar>
          <w:top w:w="28" w:type="dxa"/>
          <w:left w:w="28" w:type="dxa"/>
          <w:bottom w:w="28" w:type="dxa"/>
          <w:right w:w="28" w:type="dxa"/>
        </w:tblCellMar>
      </w:tblPr>
      <w:tblGrid>
        <w:gridCol w:w="5111"/>
        <w:gridCol w:w="146"/>
        <w:gridCol w:w="229"/>
        <w:gridCol w:w="734"/>
        <w:gridCol w:w="180"/>
        <w:gridCol w:w="158"/>
        <w:gridCol w:w="229"/>
        <w:gridCol w:w="734"/>
        <w:gridCol w:w="1011"/>
      </w:tblGrid>
      <w:tr>
        <w:trPr/>
        <w:tc>
          <w:tcPr>
            <w:tcW w:w="5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w:t>
              <w:br/>
              <w:t>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write-off of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contingent acquisition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Credit losses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Increase (decrease) from 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unrestricted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made for taxes of employees who surrendered</w:t>
              <w:br/>
              <w:t>   shares related to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12,972</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15" w:name="consolidated_statements_stockholders_equ"/>
      <w:bookmarkEnd w:id="15"/>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57"/>
        <w:gridCol w:w="146"/>
        <w:gridCol w:w="146"/>
        <w:gridCol w:w="676"/>
        <w:gridCol w:w="166"/>
        <w:gridCol w:w="146"/>
        <w:gridCol w:w="260"/>
        <w:gridCol w:w="521"/>
        <w:gridCol w:w="166"/>
        <w:gridCol w:w="146"/>
        <w:gridCol w:w="213"/>
        <w:gridCol w:w="793"/>
        <w:gridCol w:w="166"/>
        <w:gridCol w:w="146"/>
        <w:gridCol w:w="270"/>
        <w:gridCol w:w="946"/>
        <w:gridCol w:w="166"/>
        <w:gridCol w:w="146"/>
        <w:gridCol w:w="534"/>
        <w:gridCol w:w="958"/>
        <w:gridCol w:w="166"/>
        <w:gridCol w:w="146"/>
        <w:gridCol w:w="287"/>
        <w:gridCol w:w="925"/>
        <w:gridCol w:w="213"/>
      </w:tblGrid>
      <w:tr>
        <w:trPr/>
        <w:tc>
          <w:tcPr>
            <w:tcW w:w="1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surrendered by employees to pay</w:t>
              <w:br/>
              <w:t>   taxes related to unrestricted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surrendered by employees to pay</w:t>
              <w:br/>
              <w:t>   taxes related to unrestricted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6" w:name="n1_nature_business"/>
      <w:bookmarkEnd w:id="16"/>
      <w:r>
        <w:rPr>
          <w:rFonts w:ascii="Times New Roman" w:hAnsi="Times New Roman"/>
          <w:b/>
          <w:color w:val="000000"/>
          <w:sz w:val="20"/>
        </w:rPr>
        <w:t>1 NATURE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leading biometric identity platform company that validates and secures identities using proven and trusted biometrics solutions. Our portfolio enables government agencies and commercial entities to enroll, identify authenticate and enable using biometrics, which comprise physiological characteristics, such as fingerprints, faces, irises and voices.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color w:val="000000"/>
          <w:sz w:val="20"/>
        </w:rPr>
        <w:t>Enroll:</w:t>
      </w:r>
      <w:r>
        <w:rPr>
          <w:rFonts w:ascii="Times New Roman" w:hAnsi="Times New Roman"/>
          <w:color w:val="000000"/>
          <w:sz w:val="20"/>
        </w:rPr>
        <w:t xml:space="preserve"> Register biometric identities into an organization’s secure database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color w:val="000000"/>
          <w:sz w:val="20"/>
        </w:rPr>
        <w:t>Identify:</w:t>
      </w:r>
      <w:r>
        <w:rPr>
          <w:rFonts w:ascii="Times New Roman" w:hAnsi="Times New Roman"/>
          <w:color w:val="000000"/>
          <w:sz w:val="20"/>
        </w:rPr>
        <w:t xml:space="preserve"> Utilize an organization’s secure database to accurately identify individuals using biometric data</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color w:val="000000"/>
          <w:sz w:val="20"/>
        </w:rPr>
        <w:t>Authenticate:</w:t>
      </w:r>
      <w:r>
        <w:rPr>
          <w:rFonts w:ascii="Times New Roman" w:hAnsi="Times New Roman"/>
          <w:color w:val="000000"/>
          <w:sz w:val="20"/>
        </w:rPr>
        <w:t xml:space="preserve"> Provide frictionless multi-factor, passwordless access to secured accounts and databases with biometric verification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color w:val="000000"/>
          <w:sz w:val="20"/>
        </w:rPr>
        <w:t>Enable:</w:t>
      </w:r>
      <w:r>
        <w:rPr>
          <w:rFonts w:ascii="Times New Roman" w:hAnsi="Times New Roman"/>
          <w:color w:val="000000"/>
          <w:sz w:val="20"/>
        </w:rPr>
        <w:t xml:space="preserve"> Manage the lifecycle of secure identities through optimized biometric interchanges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comprehensive portfolio of biometric solutions is based on innovative, robust products designed explicitly for ease of integration, including customer-managed and integration ready biometric frameworks, platforms, software development kits (“SDKs”) and orchestration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value-added resellers ("VARs"), partners, and directly to end user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amounts in the consolidated financial statements and associated notes may not add due to rounding. All percentages have been calculated using unrounded amounts.</w:t>
      </w:r>
    </w:p>
    <w:p>
      <w:pPr>
        <w:pStyle w:val="TextBody"/>
        <w:bidi w:val="0"/>
        <w:spacing w:before="20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 The consolidated financial statements include the accounts of Aware, Inc. and its subsidiaries (“the Company”). All significant intercompany transactions have been eliminated.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Use of Estimates </w:t>
      </w:r>
      <w:r>
        <w:rPr>
          <w:rFonts w:ascii="Times New Roman" w:hAnsi="Times New Roman"/>
          <w:color w:val="000000"/>
          <w:sz w:val="20"/>
        </w:rPr>
        <w:t>– The preparation of our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Estimates used in these financial statements include but are not limited to, revenue recognition, goodwill and long-lived asset impairment, stock based compensation, income taxes, and allowance for credit losses.</w:t>
      </w:r>
    </w:p>
    <w:p>
      <w:pPr>
        <w:pStyle w:val="TextBody"/>
        <w:bidi w:val="0"/>
        <w:spacing w:before="200" w:after="283"/>
        <w:jc w:val="both"/>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 The Financial Accounting Standards Board (“FASB”) Codification defines fair value and establishes a fair value hierarchy 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Cash and cash equivalents, which primarily include money market mutual funds, were $13.0 million and $10.0 million at December 31, 2024 and 2023, respectively. Marketable securities, which primarily include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Treasuries and corporate bonds, were $14.8 million and $20.9 million as of December 31, 2024 and 2023,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2024, our assets that are measured at fair value on a recurring basis include the following (in thousands):</w:t>
      </w:r>
    </w:p>
    <w:p>
      <w:pPr>
        <w:pStyle w:val="TextBody"/>
        <w:bidi w:val="0"/>
        <w:jc w:val="both"/>
        <w:rPr/>
      </w:pPr>
      <w:r>
        <w:rPr/>
        <w:t> </w:t>
      </w:r>
    </w:p>
    <w:tbl>
      <w:tblPr>
        <w:tblW w:w="9168" w:type="dxa"/>
        <w:jc w:val="left"/>
        <w:tblInd w:w="0" w:type="dxa"/>
        <w:tblLayout w:type="fixed"/>
        <w:tblCellMar>
          <w:top w:w="28" w:type="dxa"/>
          <w:left w:w="28" w:type="dxa"/>
          <w:bottom w:w="28" w:type="dxa"/>
          <w:right w:w="28" w:type="dxa"/>
        </w:tblCellMar>
      </w:tblPr>
      <w:tblGrid>
        <w:gridCol w:w="3421"/>
        <w:gridCol w:w="146"/>
        <w:gridCol w:w="307"/>
        <w:gridCol w:w="983"/>
        <w:gridCol w:w="146"/>
        <w:gridCol w:w="146"/>
        <w:gridCol w:w="605"/>
        <w:gridCol w:w="476"/>
        <w:gridCol w:w="146"/>
        <w:gridCol w:w="146"/>
        <w:gridCol w:w="714"/>
        <w:gridCol w:w="562"/>
        <w:gridCol w:w="146"/>
        <w:gridCol w:w="146"/>
        <w:gridCol w:w="211"/>
        <w:gridCol w:w="67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at</w:t>
              <w:br/>
              <w:t>December 31, 2024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 Prices</w:t>
              <w:br/>
              <w:t>in Active</w:t>
              <w:br/>
              <w:t>Markets for</w:t>
              <w:br/>
              <w:t>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 (included in cash</w:t>
              <w:br/>
              <w:t>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our assets and liabilities that are measured at fair value on a recurring basis included the following (in thousands):</w:t>
      </w:r>
    </w:p>
    <w:p>
      <w:pPr>
        <w:pStyle w:val="TextBody"/>
        <w:bidi w:val="0"/>
        <w:jc w:val="both"/>
        <w:rPr/>
      </w:pPr>
      <w:r>
        <w:rPr/>
        <w:t> </w:t>
      </w:r>
    </w:p>
    <w:tbl>
      <w:tblPr>
        <w:tblW w:w="9168" w:type="dxa"/>
        <w:jc w:val="left"/>
        <w:tblInd w:w="0" w:type="dxa"/>
        <w:tblLayout w:type="fixed"/>
        <w:tblCellMar>
          <w:top w:w="28" w:type="dxa"/>
          <w:left w:w="28" w:type="dxa"/>
          <w:bottom w:w="28" w:type="dxa"/>
          <w:right w:w="28" w:type="dxa"/>
        </w:tblCellMar>
      </w:tblPr>
      <w:tblGrid>
        <w:gridCol w:w="3421"/>
        <w:gridCol w:w="146"/>
        <w:gridCol w:w="307"/>
        <w:gridCol w:w="983"/>
        <w:gridCol w:w="146"/>
        <w:gridCol w:w="146"/>
        <w:gridCol w:w="605"/>
        <w:gridCol w:w="476"/>
        <w:gridCol w:w="146"/>
        <w:gridCol w:w="146"/>
        <w:gridCol w:w="714"/>
        <w:gridCol w:w="562"/>
        <w:gridCol w:w="146"/>
        <w:gridCol w:w="146"/>
        <w:gridCol w:w="211"/>
        <w:gridCol w:w="67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at</w:t>
              <w:br/>
              <w:t>December 31, 2023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 Prices</w:t>
              <w:br/>
              <w:t>in Active</w:t>
              <w:br/>
              <w:t>Markets for</w:t>
              <w:br/>
              <w:t>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 (included in cash</w:t>
              <w:br/>
              <w:t>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fair value of our contingent acquisition payments was $0 as of December 31, 2023. The $0.8 million decrease during the year ended December 31, 2023 was due to the end of the earnout period without the achievement of any earnout targets, resulting in no earnout payment being required.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Investments in marketable securities are classified as available-for-sale and are carried at fair value, with the unrealized gains and losses, net of tax, reported as a component of accumulated other comprehensive income (loss) in stockholders' equity. </w:t>
      </w:r>
    </w:p>
    <w:p>
      <w:pPr>
        <w:pStyle w:val="TextBody"/>
        <w:bidi w:val="0"/>
        <w:jc w:val="both"/>
        <w:rPr>
          <w:rFonts w:ascii="Times New Roman" w:hAnsi="Times New Roman"/>
          <w:color w:val="000000"/>
          <w:sz w:val="20"/>
        </w:rPr>
      </w:pPr>
      <w:r>
        <w:rPr>
          <w:rFonts w:ascii="Times New Roman" w:hAnsi="Times New Roman"/>
          <w:color w:val="000000"/>
          <w:sz w:val="20"/>
        </w:rPr>
        <w:t>Marketable securities by security type consisted of the following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39"/>
        <w:gridCol w:w="146"/>
        <w:gridCol w:w="330"/>
        <w:gridCol w:w="1063"/>
        <w:gridCol w:w="146"/>
        <w:gridCol w:w="146"/>
        <w:gridCol w:w="677"/>
        <w:gridCol w:w="1358"/>
        <w:gridCol w:w="146"/>
        <w:gridCol w:w="146"/>
        <w:gridCol w:w="914"/>
        <w:gridCol w:w="1177"/>
        <w:gridCol w:w="166"/>
        <w:gridCol w:w="146"/>
        <w:gridCol w:w="239"/>
        <w:gridCol w:w="770"/>
        <w:gridCol w:w="196"/>
      </w:tblGrid>
      <w:tr>
        <w:trPr/>
        <w:tc>
          <w:tcPr>
            <w:tcW w:w="2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 and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43"/>
        <w:gridCol w:w="146"/>
        <w:gridCol w:w="330"/>
        <w:gridCol w:w="1063"/>
        <w:gridCol w:w="146"/>
        <w:gridCol w:w="146"/>
        <w:gridCol w:w="677"/>
        <w:gridCol w:w="1357"/>
        <w:gridCol w:w="146"/>
        <w:gridCol w:w="146"/>
        <w:gridCol w:w="750"/>
        <w:gridCol w:w="1339"/>
        <w:gridCol w:w="166"/>
        <w:gridCol w:w="146"/>
        <w:gridCol w:w="239"/>
        <w:gridCol w:w="770"/>
        <w:gridCol w:w="195"/>
      </w:tblGrid>
      <w:tr>
        <w:trPr/>
        <w:tc>
          <w:tcPr>
            <w:tcW w:w="2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 and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Changes in note receivable consisted of the following (in thousands):</w:t>
      </w:r>
    </w:p>
    <w:p>
      <w:pPr>
        <w:pStyle w:val="TextBody"/>
        <w:bidi w:val="0"/>
        <w:jc w:val="both"/>
        <w:rPr/>
      </w:pPr>
      <w:r>
        <w:rPr/>
        <w:t> </w:t>
      </w:r>
    </w:p>
    <w:tbl>
      <w:tblPr>
        <w:tblW w:w="4080" w:type="dxa"/>
        <w:jc w:val="left"/>
        <w:tblInd w:w="0" w:type="dxa"/>
        <w:tblLayout w:type="fixed"/>
        <w:tblCellMar>
          <w:top w:w="28" w:type="dxa"/>
          <w:left w:w="28" w:type="dxa"/>
          <w:bottom w:w="28" w:type="dxa"/>
          <w:right w:w="28" w:type="dxa"/>
        </w:tblCellMar>
      </w:tblPr>
      <w:tblGrid>
        <w:gridCol w:w="2881"/>
        <w:gridCol w:w="146"/>
        <w:gridCol w:w="211"/>
        <w:gridCol w:w="631"/>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Balance as of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investment in the Note Receivable ("Note") with Omlis Limited ("Omlis"), a limited company incorporated and registered in England and Wales and the parent of MIRCAL Technologies Limited ("MIRACL"), was negotiated at an arm’s length basis and the total carrying value of the investment was $0 as of December 31 2024 and 2023. The $2.7 million write off during the year ended December 31, 2023 was the result of the lack of recoverability of the Note due to liquidity concerns as of December 31, 2023. In addition, in January 2024, Omlis and MIRACL petitioned to enter the United Kingdom administration process, which is still ongoing. The deterioration of Omlis' liquidity, resulted in our unlikely recoverability of the Note's carrying value.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 Cash and cash equivalents, which consist primarily of money market funds and demand deposits, are stated at fair value. All highly liquid investments purchased with an original maturity of three months or less are considered cash equivalents. Our cash balances exceed the Federal Deposit Insurance Corporation limits. The Company does not believe it is exposed to significant credit risk related to cash and cash equivalents.</w:t>
      </w:r>
    </w:p>
    <w:p>
      <w:pPr>
        <w:pStyle w:val="TextBody"/>
        <w:bidi w:val="0"/>
        <w:spacing w:before="200" w:after="283"/>
        <w:jc w:val="both"/>
        <w:rPr>
          <w:rFonts w:ascii="Times New Roman" w:hAnsi="Times New Roman"/>
          <w:sz w:val="20"/>
        </w:rPr>
      </w:pPr>
      <w:r>
        <w:rPr>
          <w:rFonts w:ascii="Times New Roman" w:hAnsi="Times New Roman"/>
          <w:b/>
          <w:i/>
          <w:color w:val="000000"/>
          <w:sz w:val="20"/>
        </w:rPr>
        <w:t>Allowance for Credit Losses</w:t>
      </w:r>
      <w:r>
        <w:rPr>
          <w:rFonts w:ascii="Times New Roman" w:hAnsi="Times New Roman"/>
          <w:color w:val="000000"/>
          <w:sz w:val="20"/>
        </w:rPr>
        <w:t xml:space="preserve"> – The Company's accounts receivable are subject to concentrations of credit risk. We maintain an allowance for credit losses that reflects any estimated credit losses. This allowance is evaluated each quarter on a customer by customer basis and considers historical write-off experience with each customer, the number of days that any delinquent invoices are past due, and an evaluation of the potential risk of loss associated with any delinquent accounts. We record the allowance in "general and administrative" expense in the Consolidated Statements of Operations. Account receivables are written off and charged against the recorded allowance when the Company has exhausted collection efforts without success.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years ended December 31, 2024 and 2023, changes to and ending balances of the allowance for credit losses were as follows (in thousands):</w:t>
      </w:r>
    </w:p>
    <w:p>
      <w:pPr>
        <w:pStyle w:val="TextBody"/>
        <w:bidi w:val="0"/>
        <w:jc w:val="both"/>
        <w:rPr/>
      </w:pPr>
      <w:r>
        <w:rPr/>
        <w:t> </w:t>
      </w:r>
    </w:p>
    <w:tbl>
      <w:tblPr>
        <w:tblW w:w="6494" w:type="dxa"/>
        <w:jc w:val="left"/>
        <w:tblInd w:w="0" w:type="dxa"/>
        <w:tblLayout w:type="fixed"/>
        <w:tblCellMar>
          <w:top w:w="28" w:type="dxa"/>
          <w:left w:w="28" w:type="dxa"/>
          <w:bottom w:w="28" w:type="dxa"/>
          <w:right w:w="28" w:type="dxa"/>
        </w:tblCellMar>
      </w:tblPr>
      <w:tblGrid>
        <w:gridCol w:w="4561"/>
        <w:gridCol w:w="146"/>
        <w:gridCol w:w="211"/>
        <w:gridCol w:w="421"/>
        <w:gridCol w:w="166"/>
        <w:gridCol w:w="146"/>
        <w:gridCol w:w="211"/>
        <w:gridCol w:w="421"/>
        <w:gridCol w:w="21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balance -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the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Deductions against the allowance for credit</w:t>
              <w:br/>
              <w: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balance -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 Property and equipment is stated at cost. Depreciation and amortization of property and equipment is provided using the straight-line method over the estimated useful lives of the assets. Upon retirement or sale, the costs of the assets disposed of and the related accumulated depreciation are removed from the accounts and any resulting gain or loss on disposal is included in the determination of income or loss. Expenditures for repairs and maintenance are charged to expense as incurred.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useful lives of assets are:</w:t>
      </w:r>
    </w:p>
    <w:p>
      <w:pPr>
        <w:pStyle w:val="TextBody"/>
        <w:bidi w:val="0"/>
        <w:jc w:val="both"/>
        <w:rPr/>
      </w:pPr>
      <w:r>
        <w:rPr/>
        <w:t> </w:t>
      </w:r>
    </w:p>
    <w:tbl>
      <w:tblPr>
        <w:tblW w:w="3673" w:type="dxa"/>
        <w:jc w:val="left"/>
        <w:tblInd w:w="0" w:type="dxa"/>
        <w:tblLayout w:type="fixed"/>
        <w:tblCellMar>
          <w:top w:w="28" w:type="dxa"/>
          <w:left w:w="28" w:type="dxa"/>
          <w:bottom w:w="28" w:type="dxa"/>
          <w:right w:w="28" w:type="dxa"/>
        </w:tblCellMar>
      </w:tblPr>
      <w:tblGrid>
        <w:gridCol w:w="2701"/>
        <w:gridCol w:w="146"/>
        <w:gridCol w:w="826"/>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 years</w:t>
            </w:r>
          </w:p>
        </w:tc>
      </w:tr>
      <w:tr>
        <w:trPr/>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software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 We account for a contract as a lease when we have the right to control the asset for a period of time while obtaining substantially all of the asset’s economic benefits. We determine the initial classification and measurement of our operating lease right of use assets and lease liabilities at the lease commencement date and thereafter if modified. Fixed lease costs are recognized on a straight-line basis over the lease term. Variable lease costs are recognized in the period in which the obligation for those payments is incurred. We combine lease and non-lease components when determining lease costs for office space. The lease liability includes lease payments related to options to extend or renew the lease term if we are reasonably certain we will exercise those options. Our lease does not contain material residual value guarantees or restrictive covenants.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 We record goodwill when consideration paid in a business acquisition exceeds the fair value of the net assets acquired. Our estimates of fair value are based upon assumptions believed to be reasonable at the time, but such estimates are inherently uncertain and unpredictable. Assumptions may be incomplete or inaccurate and unanticipated events or circumstances may occur, which may affect the accuracy or validity of such assumptions, estimates or actual results. Goodwill is not amortized but rather is tested for impairment annually in the fourth quarter or more frequently, if facts and circumstances warrant a review. Circumstances that could trigger an impairment test include, but are not limited to, a significant adverse change in the business climate or legal factors, an adverse action or assessment by a regulator, decline in market capitalization, or unanticipated competition. We have determined that there is a single reporting unit for the purpose of conducting the goodwill impairment assessment. In accordance with ASC Topic 350, Intangibles—Goodwill and Other, we first assess qualitative factors to determine whether it is necessary to perform the quantitative goodwill impairment test. If after assessing the totality of events or circumstances, we determine that it is more likely than not (i.e., greater than 50% likelihood) that the fair value of the reporting unit is less than its carrying amount, then the quantitative test is required. The quantitative goodwill impairment test requires us to estimate and compare the fair value of the reporting unit, determined using an income approach and a market approach, with its carrying value. If the fair value of the reporting unit exceeds the carrying value of the net assets, goodwill is not impaired. If the fair value of the reporting unit is less than the carrying value, the difference is recorded as an impairment loss up to the amount of 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Application of the goodwill impairment test requires judgments, including identification of the reporting units, assigning goodwill to reporting units, a qualitative assessment to determine whether there are any impairment indicators, and determining the fair value of each reporting unit which often involves the use of significant estimates and assumptions, including assumptions with respect to future cash inflows and outflows, discount rates, asset lives and market multiples, among other items. There is no assurance that the actual future earnings or cash flows of the reporting unit will not decline significantly from the projections used in the impairment analysis. Goodwill impairment charges may be recognized in future periods to the extent changes in factors or circumstances occur, including deterioration in the macroeconomic environment and industry, deterioration in the Company’s performance or its future projections, or changes in plans for its reporting unit.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2024 and 2023, we had $3.1 million of goodwill. We performed a quantitative analysis during the years ended December 31, 2024 and 2023 and determined there were no impairments of goodwill. </w:t>
      </w:r>
    </w:p>
    <w:p>
      <w:pPr>
        <w:pStyle w:val="TextBody"/>
        <w:bidi w:val="0"/>
        <w:spacing w:before="200" w:after="283"/>
        <w:jc w:val="both"/>
        <w:rPr>
          <w:rFonts w:ascii="Times New Roman" w:hAnsi="Times New Roman"/>
          <w:sz w:val="20"/>
        </w:rPr>
      </w:pPr>
      <w:r>
        <w:rPr>
          <w:rFonts w:ascii="Times New Roman" w:hAnsi="Times New Roman"/>
          <w:b/>
          <w:i/>
          <w:color w:val="000000"/>
          <w:sz w:val="20"/>
        </w:rPr>
        <w:t>Long-Lived Assets</w:t>
      </w:r>
      <w:r>
        <w:rPr>
          <w:rFonts w:ascii="Times New Roman" w:hAnsi="Times New Roman"/>
          <w:color w:val="000000"/>
          <w:sz w:val="20"/>
        </w:rPr>
        <w:t xml:space="preserve"> – We review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undiscounted cash flows estimated to be generated by those assets over their estimated economic life to the related carrying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value of those assets to determine if the assets are impaired. If an impairment is indicated, the asset is written down to its estimated fair value. The cash flow estimates used to identify the potential impairment reflect our best estimates using appropriate assumptions and projections at that time. In evaluating potential impairment of these assets, we specifically consider whether any indicators of impairment are present,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there has been a significant adverse change in the business climate that affects the value of an asset: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there has been a significant change in the extent or way an asset is used;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there is an expectation that the asset will be sold or disposed of before the end of its originally estimated useful life.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did not identify any events or changes in business circumstances that would indicate the carrying amount of the assets may not be fully recoverable or that the useful lives of these assets are no longer appropriate during the years ended December 31, 2024 and 2023.</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Revenue recognition - </w:t>
      </w:r>
      <w:r>
        <w:rPr>
          <w:rFonts w:ascii="Times New Roman" w:hAnsi="Times New Roman"/>
          <w:color w:val="000000"/>
          <w:sz w:val="20"/>
        </w:rPr>
        <w:t>The core principle of Accounting Standards Codification (“ASC”) Topic 606, Revenue from Contracts with Customers (“ASC 606”) is that we should recognize revenue to depict the transfer of promised goods or services to customers in an amount that reflects the consideration to which we expect to be entitled in exchange for those goods or services. To achieve that core principle, we apply the following five step model: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1) Identify the contract with the customer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 We apply judgment in determining the customer’s intent and ability to pay, which is based on a variety of factors including the customer’s historical payment experience, or in the case of a new customer, published credit and financial information pertaining to the customer.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evaluate contract modifications for the impact on revenue recognition if they have been approved by both parties such that the enforceable rights and obligations under the contract have changed. Contract modifications are either accounted for using a cumulative effect adjustment or prospectively over the remaining term of the arrangement. The determination of which method is more appropriate depends on the nature of the modification, which we evaluate on a case-by-case basis.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combine two or more contracts entered into at or near the same time with the same customer and account for them as a single contract if (i) the contracts are negotiated as a package with a common commercial objective, (ii) the amount of consideration to be paid in one contract depends on the price or performance of the other contract, or (iii) some or all of the goods or services in one contract would be combined with some or all of the goods and services in the other contract into a single performance obligation. If two or more contracts are combined, the consideration to be paid is aggregated and allocated to the individual performance obligations without regard to the consideration specified in the individual contracts.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2) Identify the performance obligations in the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apply judgment to determine whether promised goods and services are capable of being distinct and distinct in the context of the contract. If these criteria are not met, the promised goods and services are accounted for as a combined performance obligation. To identify performance obligations, we consider all of the goods or services promised in a contract regardless of whether they are explicitly stated or are implied by customary business practices.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3) Determine the transaction price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transaction price is determined based on the consideration we expect to be entitled in exchange for transferring promised goods and services to the customer. Determining the transaction price requires significant judgment.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recognized under the contract will not occur. Any estimates, including the effect of the constraint on variable consideration, are evaluated at each reporting period. Some of our arrangements include usage-based royalties where a software license is the predominant item that the royalty relates to. In these arrangements, revenue from the usage-based royalty is recognized when the subsequent usage occurs.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of consideration is not adjusted for a significant financing component if the time between payment and the transfer of the related good or service is expected to be one year or less under the practical expedient in ASC 606-10-32-18. Our revenue arrangements are typically accounted for under such expedient, as payment is typically due within 30 to 60 days. As of December 31, 2024 and 2023, none of our contracts contained a significant financing component.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arrangements can include variable fees, such as the option to purchase additional usage of a previously delivered software license. The Company may also provide pricing concessions to clients, a business practice that also gives rise to variable fees in contracts. The Company also reviews contractual termination provisions in determining contractual term and total transaction price. For variable fees arising from the client’s purchase of additional usage of a previously delivered software license, we apply the sales and usage-based royalties guidance related to a license of intellectual property and recognizes the revenue in the period the underlying sale or usage occurs. We include variable fees in the determination of total transaction price if it is not probable that a future significant reversal of revenue will occur. We use the expected value or most likely value amount, whichever is more appropriate for specific circumstances, to estimate variable consideration, and the estimates are based on the level of historical price concessions offered to clients.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4) Allocate the transaction price to performance obligations in the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SSPs.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amounts to estimate SSP when we sell each of the goods and services separately and need to determine whether there is a discount that needs to be allocated based on the relative SSP of the various goods and services.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customers and circumstances. In these instances, we may use information such as the nature of the customer and distribution channel in determining the SSP.</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5) Recognize revenue when or as we satisfy a performance obligation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satisfy performance obligations either over time or at a point in time. Revenue is recognized over time if i) the customer simultaneously receives and consumes the benefits provided by our performance, ii) our performance creates or enhances an asset that the customer controls as the asset is created or enhanced, or iii) our performance does not create an asset with an alternative use to us and we have an enforceable right to payment for performance completed to date. If we do not satisfy a performance obligation over time, the related performance obligation is satisfied at a point in time by transferring the control of a promised good or service to a customer.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categorize revenue as software licenses, software maintenance, or services and other. Specific revenue recognition policies apply to each category of revenue.</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Software licenses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licenses consist of revenue from the sale of software licenses for biometrics and imaging applications. Our software licenses are functional intellectual property and typically provide customers with the right to use our software on a term or perpetual basis as it exists when made available to the customer. We recognize revenue from perpetual software licenses at a point in time upon delivery, provided all other revenue recognition criteria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offer certain products pursuant to a subscription-based software model which includes a term software license to use the software for a fixed term. We recognize revenue for fixed fees associated with subscription-based software licenses at a point in time upon delivery, provided all other revenue recognition criteria are met. Fees subject to the usage-based royalty exception are recognized when the subsequent usage occurs.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with the adaption of our current products to be delivered in a hosted environment with AwareID, we recognize revenue from our SaaS offerings ratably over the subscription period. For the year ended December 31, 2024, we generated $0.1 million of revenue from SaaS contracts, which is included in license revenue. In 2023, we generated a de minimis amount of revenue from SaaS contracts.</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Software maintenance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Software maintenance consists of revenue from the sale of software maintenance contracts for biometrics and imaging software. Software maintenance contracts entitle customers to receive software support and software updates, if and when they become available, during the term of the maintenance contract. Software support and software updates are considered distinct services. However, these distinct services are considered a single performance obligation consisting of a series of distinct services that are substantially the same and have the same pattern of transfer to the customer. We recognize software maintenance revenue over time on a straight-line basis over the contract period.</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Services and other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Service revenue consists of fees from biometrics customers for software engineering services. We recognize services revenue over time as the services are delivered using an input method (i.e., labor hours incurred as a percentage of total labor hours budgeted), provided all other revenue recognition criteria are met. The use of the over-time revenue recognition method requires judgment in developing budgeted labor hours. Changes in budgeted hours may occur and the resulting impact on revenue recognition is accounted for in the period of the change in estimate. Other revenue, which includes hardware sales that may be purchased with the software license, is recognized at a point in time upon delivery provided all other revenue recognition criteria are met.</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Arrangements with multiple performance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selling software licenses, software maintenance and software services on a standalone basis, a significant portion of our contracts include multiple performance obligations. The various combinations of multiple performance obligations and our revenue recognition for each are described as follows: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Perpetual software licenses and software maintenance:</w:t>
      </w:r>
      <w:r>
        <w:rPr>
          <w:color w:val="000000"/>
        </w:rPr>
        <w:t xml:space="preserve"> </w:t>
      </w:r>
      <w:r>
        <w:rPr>
          <w:rFonts w:ascii="Times New Roman" w:hAnsi="Times New Roman"/>
          <w:color w:val="000000"/>
          <w:sz w:val="20"/>
        </w:rPr>
        <w:t xml:space="preserve">When software licenses and software maintenance contracts are sold together, the software licenses and software maintenance are generally considered distinct performance obligations. The transaction price is allocated to the software licenses and the software maintenance based on relative SSP. Revenue allocated to the software licenses is recognized at a point in time upon delivery, provided all other revenue recognition criteria are met. Revenue allocated to the software maintenance is recognized over time on a straight-line basis over the contract period.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Perpetual software licenses and services:</w:t>
      </w:r>
      <w:r>
        <w:rPr>
          <w:color w:val="000000"/>
        </w:rPr>
        <w:t xml:space="preserve"> </w:t>
      </w:r>
      <w:r>
        <w:rPr>
          <w:rFonts w:ascii="Times New Roman" w:hAnsi="Times New Roman"/>
          <w:color w:val="000000"/>
          <w:sz w:val="20"/>
        </w:rPr>
        <w:t xml:space="preserve">When software licenses and significant customization engineering services are sold together, they are accounted for as a combined performance obligation, as the software licenses are generally highly dependent on, and interrelated with, the associated services and therefore are not distinct performance obligations. Revenue for the combined performance obligation is recognized over time as the services are delivered using an input method (i.e., labor hours incurred as a percentage of total labor hours budgeted). When software licenses and standard implementation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consulting-type services are sold together, they are generally considered distinct performance obligations, as the software licenses are not dependent on or interrelated with the associated services. The transaction price in these arrangements is allocated to the software licenses and services based on relative SSP. Revenue allocated to the software licenses is recognized at a point in time upon delivery, provided all other revenue recognition criteria are met. Revenue allocated to the services is recognized over time using an input method. In arrangements with both software licenses and services, the software license portion of the arrangement is classified as software license revenue and the services portion is classified as services revenue in our consolidated statements of operations and comprehensive loss.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Perpetual software licenses, software maintenance and services:</w:t>
      </w:r>
      <w:r>
        <w:rPr>
          <w:color w:val="000000"/>
        </w:rPr>
        <w:t xml:space="preserve"> </w:t>
      </w:r>
      <w:r>
        <w:rPr>
          <w:rFonts w:ascii="Times New Roman" w:hAnsi="Times New Roman"/>
          <w:color w:val="000000"/>
          <w:sz w:val="20"/>
        </w:rPr>
        <w:t>When we sell software licenses, software maintenance and software services together, we account for the individual performance obligations separately if they are distinct. The transaction price is allocated to the separate performance obligations based on relative SSP. Revenue allocated to the software licenses is recognized at a point in time upon delivery. Revenue allocated to the services is recognized over time using an input method (i.e., labor hours incurred as a percentage of total labor hours budgeted). Revenue for the software maintenance is recognized over time on a straight-line basis over the contract period. However, if the software services are significant customization engineering services, they are accounted for with the software licenses as a combined performance obligation, as stated above. Revenue for the combined performance obligation is recognized over time using an input method.</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Perpetual software licenses, hardware, software maintenance, and services:</w:t>
      </w:r>
      <w:r>
        <w:rPr>
          <w:color w:val="000000"/>
        </w:rPr>
        <w:t xml:space="preserve"> </w:t>
      </w:r>
      <w:r>
        <w:rPr>
          <w:rFonts w:ascii="Times New Roman" w:hAnsi="Times New Roman"/>
          <w:color w:val="000000"/>
          <w:sz w:val="20"/>
        </w:rPr>
        <w:t xml:space="preserve">When we sell software licenses, hardware, software maintenance and software services together, we account for the individual performance obligations separately if they are distinct. The transaction price is allocated to the separate performance obligations based on relative SSP. Revenue allocated to the software licenses is recognized at a point in time upon delivery. Revenue allocated to the services is recognized over time using an input method (i.e., labor hours incurred as a percentage of total labor hours budgeted). Revenue for the hardware is recognized at a point in time upon delivery. Revenue for the software maintenance is recognized over time on a straight-line basis over the contract period. </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Subscription-based software consisting of a software license and software maintenance:</w:t>
      </w:r>
      <w:r>
        <w:rPr>
          <w:color w:val="000000"/>
        </w:rPr>
        <w:t xml:space="preserve"> </w:t>
      </w:r>
      <w:r>
        <w:rPr>
          <w:rFonts w:ascii="Times New Roman" w:hAnsi="Times New Roman"/>
          <w:color w:val="000000"/>
          <w:sz w:val="20"/>
        </w:rPr>
        <w:t xml:space="preserve">When subscription-based software is sold, the software license and software maintenance are generally considered distinct performance obligations. The transaction price is allocated to software license and the software maintenance based on relative SSP. We sell subscription-based software licenses for a fixed fee and/or a usage-based royalty fee, sometimes subject to a minimum guarantee. When the amount is in the form of a fixed fee, including the guaranteed minimum in usage-based royalty, revenue is allocated to the software license recognized at a point in time upon delivery, provided all other revenue recognition criteria are met. Any royalties not subject to the guaranteed minimum or earned in excess of the minimum amount are recognized as revenue when the subsequent usage occurs. Revenue allocated to the software maintenance is recognized on a straight-line basis over the contract period.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Returns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offer rights of return for our products and services in the normal course of business.</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Customer Acceptance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contracts with customers generally do not include customer acceptance clauses.</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Contract Balances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timing of our delivery of goods or services is different from the timing of payments made by customers, we recognize either a contract asset (performance precedes contractual billing date) or a contract liability (customer payment precedes performance). Customers that prepay are represented by deferred revenue until the performance obligation is satisfied. Our contract assets consist of unbilled receivables. Our contract liabilities consisted of deferred (unearned) revenue, which is generally related to software maintenance contracts. We classify deferred revenue as current or noncurrent based on the timing of when we expect to recognize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changes in our contract assets and liabilities during the years ended December 31, 2024 and 2023 (in thousands):</w:t>
      </w:r>
    </w:p>
    <w:p>
      <w:pPr>
        <w:pStyle w:val="TextBody"/>
        <w:bidi w:val="0"/>
        <w:spacing w:before="200" w:after="283"/>
        <w:jc w:val="both"/>
        <w:rPr/>
      </w:pPr>
      <w:r>
        <w:rPr/>
        <w:t> </w:t>
      </w:r>
    </w:p>
    <w:tbl>
      <w:tblPr>
        <w:tblW w:w="8351" w:type="dxa"/>
        <w:jc w:val="left"/>
        <w:tblInd w:w="0" w:type="dxa"/>
        <w:tblLayout w:type="fixed"/>
        <w:tblCellMar>
          <w:top w:w="28" w:type="dxa"/>
          <w:left w:w="28" w:type="dxa"/>
          <w:bottom w:w="28" w:type="dxa"/>
          <w:right w:w="28" w:type="dxa"/>
        </w:tblCellMar>
      </w:tblPr>
      <w:tblGrid>
        <w:gridCol w:w="2746"/>
        <w:gridCol w:w="146"/>
        <w:gridCol w:w="271"/>
        <w:gridCol w:w="734"/>
        <w:gridCol w:w="146"/>
        <w:gridCol w:w="146"/>
        <w:gridCol w:w="291"/>
        <w:gridCol w:w="790"/>
        <w:gridCol w:w="146"/>
        <w:gridCol w:w="146"/>
        <w:gridCol w:w="270"/>
        <w:gridCol w:w="811"/>
        <w:gridCol w:w="166"/>
        <w:gridCol w:w="146"/>
        <w:gridCol w:w="270"/>
        <w:gridCol w:w="735"/>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br/>
              <w:t>Recognized</w:t>
              <w:br/>
              <w:t>In Advance</w:t>
              <w:br/>
              <w:t>of 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br/>
              <w:t>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Remaining Performance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Remaining performance obligations represent the transaction price from contracts for which work has not been performed or goods and services have not been delivered. We expect to recognize revenue on approximately 97% of the remaining performance obligations over the next 12 months, with the remainder recognized thereafter. The aggregate amount of the transaction price allocated to remaining performance obligations with a duration greater than one year, comprised of software maintenance contracts, was $0.3 million as of December 31, 2024. </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Contract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other long-term assets for the incremental costs of obtaining a contract with a customer if we expect the benefit of those costs to be longer than one year. We have determined that certain sales commissions meet the requirements to be capitalized, and we amortize these costs on a consistent basis with the pattern of transfer of the goods and services in the contract. Total capitalized costs to obtain a contract were immaterial during the periods presented and are included in other current and long-term assets on our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apply a practical expedient to expense costs as incurred for costs to obtain a contract when the amortization period is one year or less. These costs include sales commissions on software maintenance contracts with a contract period of one year or less as sales commissions paid on contract renewals are commensurate with those paid on the initial contract.</w:t>
      </w:r>
    </w:p>
    <w:p>
      <w:pPr>
        <w:pStyle w:val="TextBody"/>
        <w:bidi w:val="0"/>
        <w:spacing w:before="20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We compute deferred income taxes based on the differences between the financial statement and tax basis of assets and liabilities using enacted rates in effect in the years in which the differences are expected to reverse. We establish a valuation allowance to offset temporary deductible differences, net operating loss carryforwards and tax credits when it is more likely than not that the deferred tax assets will not be realized.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the tax benefit from an uncertain tax position only if it is more-likely-than-not that the tax position will be sustained upon examination by the taxing authorities, based on the technical merits of the tax position. The evaluation of an uncertain tax position is based on factors that include, but are not limited to, changes in the tax law, the measurement of tax positions taken or expected to be taken in tax returns, the effective settlement of matters subject to audit and changes in facts or circumstances related to a tax position. Any changes to these estimates, based on the actual results obtained and/or a change in assumptions, could impact our tax provision in future periods. Interest and penalty charges, if any, related to unrecognized tax benefits would be classified as a provision for income tax in the consolidated statements of operations and comprehensive loss.</w:t>
      </w:r>
    </w:p>
    <w:p>
      <w:pPr>
        <w:pStyle w:val="TextBody"/>
        <w:bidi w:val="0"/>
        <w:spacing w:before="200" w:after="283"/>
        <w:jc w:val="both"/>
        <w:rPr>
          <w:rFonts w:ascii="Times New Roman" w:hAnsi="Times New Roman"/>
          <w:sz w:val="20"/>
        </w:rPr>
      </w:pPr>
      <w:r>
        <w:rPr>
          <w:rFonts w:ascii="Times New Roman" w:hAnsi="Times New Roman"/>
          <w:b/>
          <w:i/>
          <w:color w:val="000000"/>
          <w:sz w:val="20"/>
        </w:rPr>
        <w:t>Capitalization of Software Costs</w:t>
      </w:r>
      <w:r>
        <w:rPr>
          <w:rFonts w:ascii="Times New Roman" w:hAnsi="Times New Roman"/>
          <w:color w:val="000000"/>
          <w:sz w:val="20"/>
        </w:rPr>
        <w:t xml:space="preserve"> – We capitalize certain costs to develop software products to be sold, leased, or marketed to external users after technological feasibility of the product has been established. No software costs were capitalized during the years ended December 31, 2024 and 2023, because such costs incurred between the period after technological feasibility to the product release were immaterial.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capitalizes and amortizes certain direct costs associated with computer software developed or purchased for internal use incurred during the application development stage. Costs related to preliminary project activities and post-implementation activities are expensed as incurred. The Company amortizes capitalized software costs generally over three to five years, commencing on the date the software is placed into service. No software costs were capitalized during the years ended December 31, 2024 and 2023, because such costs were immaterial.</w:t>
      </w:r>
    </w:p>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 Costs incurred in the research and development of our products are expensed as incurred.</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Concentration of Credit Risk </w:t>
      </w:r>
      <w:r>
        <w:rPr>
          <w:rFonts w:ascii="Times New Roman" w:hAnsi="Times New Roman"/>
          <w:color w:val="000000"/>
          <w:sz w:val="20"/>
        </w:rPr>
        <w:t>– At December 31, 2024 and 2023, we had cash and cash equivalents in excess of federally insured deposit limits of approximately $12.7 million and $9.7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Concentration of credit risk with respect to net accounts receivable and unbilled receivables consisted of amounts owed by the following customers that comprised more than 10% of net accounts receivable and unbilled receivables at December 31:</w:t>
      </w:r>
    </w:p>
    <w:p>
      <w:pPr>
        <w:pStyle w:val="TextBody"/>
        <w:bidi w:val="0"/>
        <w:jc w:val="both"/>
        <w:rPr/>
      </w:pPr>
      <w:r>
        <w:rPr/>
        <w:t> </w:t>
      </w:r>
    </w:p>
    <w:tbl>
      <w:tblPr>
        <w:tblW w:w="3012" w:type="dxa"/>
        <w:jc w:val="left"/>
        <w:tblInd w:w="0" w:type="dxa"/>
        <w:tblLayout w:type="fixed"/>
        <w:tblCellMar>
          <w:top w:w="28" w:type="dxa"/>
          <w:left w:w="28" w:type="dxa"/>
          <w:bottom w:w="28" w:type="dxa"/>
          <w:right w:w="28" w:type="dxa"/>
        </w:tblCellMar>
      </w:tblPr>
      <w:tblGrid>
        <w:gridCol w:w="1081"/>
        <w:gridCol w:w="146"/>
        <w:gridCol w:w="166"/>
        <w:gridCol w:w="360"/>
        <w:gridCol w:w="271"/>
        <w:gridCol w:w="146"/>
        <w:gridCol w:w="166"/>
        <w:gridCol w:w="360"/>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had one customer in 2023 that represented 18% of revenue. No other customers represented over 10% of revenue in 2024 or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Stock-Based Compensation </w:t>
      </w:r>
      <w:r>
        <w:rPr>
          <w:rFonts w:ascii="Times New Roman" w:hAnsi="Times New Roman"/>
          <w:color w:val="000000"/>
          <w:sz w:val="20"/>
        </w:rPr>
        <w:t xml:space="preserve">– We grant stock and stock options to our employees and directors. We measure stock-based compensation cost at the grant date based on the fair value of the award and recognize stock-based compensation expense on a straight-line basis over the requisite service period of the award.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For stock options, we use the Black-Scholes valuation model to estimate fair value. This model considers both observable inputs and assumptions. Observable inputs include the exercise price of the award and the risk-free interest rate over the expected term. Assumptions used in the valuation include the expected term of the option, the expected volatility of our stock over the expected term, and our expected annual dividend yield.</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Computation of Earnings per Share </w:t>
      </w:r>
      <w:r>
        <w:rPr>
          <w:rFonts w:ascii="Times New Roman" w:hAnsi="Times New Roman"/>
          <w:color w:val="000000"/>
          <w:sz w:val="20"/>
        </w:rPr>
        <w:t>– Basic earnings per share is computed by dividing income available to common shareholders by the weighted average number of common shares outstanding. Diluted earnings per share is computed by dividing income available to common shareholders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pStyle w:val="TextBody"/>
        <w:bidi w:val="0"/>
        <w:spacing w:before="200" w:after="283"/>
        <w:jc w:val="both"/>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 The carrying amounts of cash and cash equivalents, accounts receivable, unbilled receivables, accounts payable and accrued expenses approximate fair value because of their short-term nature.</w:t>
      </w:r>
    </w:p>
    <w:p>
      <w:pPr>
        <w:pStyle w:val="TextBody"/>
        <w:bidi w:val="0"/>
        <w:spacing w:before="200" w:after="283"/>
        <w:jc w:val="both"/>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 We have determined that we operate as a single reportable segment, as our Chief Executive Officer, who serves as our chief operating decision maker (CODM), evaluates financial performance and allocates resources on a consolidated basis. In making operating decisions, management and the Board receive regular reporting on revenue, cost of revenue, operating expenses, and profitability metrics. The primary financial measures used to assess performance include revenue growth, gross margin, adjusted EBITDA, and operating income. Significant expense categories reviewed by our CODM for our single operating segment include research and development, selling and marketing, and general and administrative expenses, as presented in our consolidated statement of operations.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To determine our single reportable segment, we evaluated factors such as the nature of our products and services, customer base, distribution methods, and how the business is managed. Given that we provide a unified suite of biometric and identity solutions, serve a common customer base, and operate under a single management team with an integrated resource allocation strategy, we concluded that a single operating segment best represents how we manage the business.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We do not allocate assets to individual business units or product lines for internal reporting purposes. Our CODM reviews the company’s assets on a consolidated basis, and as a result, we do not present segment asset information separately in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conduct our operations in the United States and sell our products and services to domestic and international customers. Revenues were generated from the following geographic regions (in thousands): </w:t>
      </w:r>
    </w:p>
    <w:p>
      <w:pPr>
        <w:pStyle w:val="TextBody"/>
        <w:bidi w:val="0"/>
        <w:jc w:val="both"/>
        <w:rPr/>
      </w:pPr>
      <w:r>
        <w:rPr/>
        <w:t> </w:t>
      </w:r>
    </w:p>
    <w:tbl>
      <w:tblPr>
        <w:tblW w:w="3889" w:type="dxa"/>
        <w:jc w:val="left"/>
        <w:tblInd w:w="0" w:type="dxa"/>
        <w:tblLayout w:type="fixed"/>
        <w:tblCellMar>
          <w:top w:w="28" w:type="dxa"/>
          <w:left w:w="28" w:type="dxa"/>
          <w:bottom w:w="28" w:type="dxa"/>
          <w:right w:w="28" w:type="dxa"/>
        </w:tblCellMar>
      </w:tblPr>
      <w:tblGrid>
        <w:gridCol w:w="1486"/>
        <w:gridCol w:w="146"/>
        <w:gridCol w:w="211"/>
        <w:gridCol w:w="676"/>
        <w:gridCol w:w="146"/>
        <w:gridCol w:w="146"/>
        <w:gridCol w:w="211"/>
        <w:gridCol w:w="676"/>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by product group was (in thousands):</w:t>
      </w:r>
    </w:p>
    <w:p>
      <w:pPr>
        <w:pStyle w:val="TextBody"/>
        <w:bidi w:val="0"/>
        <w:jc w:val="both"/>
        <w:rPr/>
      </w:pPr>
      <w:r>
        <w:rPr/>
        <w:t> </w:t>
      </w:r>
    </w:p>
    <w:tbl>
      <w:tblPr>
        <w:tblW w:w="4894" w:type="dxa"/>
        <w:jc w:val="left"/>
        <w:tblInd w:w="0" w:type="dxa"/>
        <w:tblLayout w:type="fixed"/>
        <w:tblCellMar>
          <w:top w:w="28" w:type="dxa"/>
          <w:left w:w="28" w:type="dxa"/>
          <w:bottom w:w="28" w:type="dxa"/>
          <w:right w:w="28" w:type="dxa"/>
        </w:tblCellMar>
      </w:tblPr>
      <w:tblGrid>
        <w:gridCol w:w="2491"/>
        <w:gridCol w:w="146"/>
        <w:gridCol w:w="211"/>
        <w:gridCol w:w="676"/>
        <w:gridCol w:w="146"/>
        <w:gridCol w:w="146"/>
        <w:gridCol w:w="211"/>
        <w:gridCol w:w="67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service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Subscription-based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60"/>
        <w:jc w:val="both"/>
        <w:rPr>
          <w:rFonts w:ascii="Times New Roman" w:hAnsi="Times New Roman"/>
          <w:color w:val="000000"/>
          <w:sz w:val="20"/>
        </w:rPr>
      </w:pPr>
      <w:r>
        <w:rPr>
          <w:rFonts w:ascii="Times New Roman" w:hAnsi="Times New Roman"/>
          <w:color w:val="000000"/>
          <w:sz w:val="20"/>
        </w:rPr>
        <w:t>Revenue by product group consists of all revenue associated with a contract, including license revenue, maintenance revenue, and services and other revenue. Revenue may be recognized at a point in time or over time, depending on the nature of the underlying performance obligations. These revenues are attributable to contracts with fixed fees and those with guaranteed minimums.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License and service contracts include revenue recognized from perpetual software licenses, professional services, and associated maintenance contracts. Subscription-based contracts include revenue from term licenses and their associated maintenance contracts, as well as SaaS-based revenue and other recurring subscription services.</w:t>
      </w:r>
    </w:p>
    <w:p>
      <w:pPr>
        <w:pStyle w:val="TextBody"/>
        <w:bidi w:val="0"/>
        <w:jc w:val="both"/>
        <w:rPr>
          <w:rFonts w:ascii="Times New Roman" w:hAnsi="Times New Roman"/>
          <w:color w:val="000000"/>
          <w:sz w:val="20"/>
        </w:rPr>
      </w:pPr>
      <w:r>
        <w:rPr>
          <w:rFonts w:ascii="Times New Roman" w:hAnsi="Times New Roman"/>
          <w:color w:val="000000"/>
          <w:sz w:val="20"/>
        </w:rPr>
        <w:t>Revenue by timing of transfer of goods or services was (in thousands):</w:t>
      </w:r>
    </w:p>
    <w:p>
      <w:pPr>
        <w:pStyle w:val="TextBody"/>
        <w:bidi w:val="0"/>
        <w:jc w:val="both"/>
        <w:rPr/>
      </w:pPr>
      <w:r>
        <w:rPr/>
        <w:t> </w:t>
      </w:r>
    </w:p>
    <w:tbl>
      <w:tblPr>
        <w:tblW w:w="6274" w:type="dxa"/>
        <w:jc w:val="left"/>
        <w:tblInd w:w="0" w:type="dxa"/>
        <w:tblLayout w:type="fixed"/>
        <w:tblCellMar>
          <w:top w:w="28" w:type="dxa"/>
          <w:left w:w="28" w:type="dxa"/>
          <w:bottom w:w="28" w:type="dxa"/>
          <w:right w:w="28" w:type="dxa"/>
        </w:tblCellMar>
      </w:tblPr>
      <w:tblGrid>
        <w:gridCol w:w="3871"/>
        <w:gridCol w:w="146"/>
        <w:gridCol w:w="211"/>
        <w:gridCol w:w="676"/>
        <w:gridCol w:w="146"/>
        <w:gridCol w:w="146"/>
        <w:gridCol w:w="211"/>
        <w:gridCol w:w="676"/>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Goods or services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Goods or services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PROPERTY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consisted of the following at December 31 (in thousands):</w:t>
      </w:r>
    </w:p>
    <w:p>
      <w:pPr>
        <w:pStyle w:val="TextBody"/>
        <w:bidi w:val="0"/>
        <w:jc w:val="both"/>
        <w:rPr/>
      </w:pPr>
      <w:r>
        <w:rPr/>
        <w:t> </w:t>
      </w:r>
    </w:p>
    <w:tbl>
      <w:tblPr>
        <w:tblW w:w="5254" w:type="dxa"/>
        <w:jc w:val="left"/>
        <w:tblInd w:w="0" w:type="dxa"/>
        <w:tblLayout w:type="fixed"/>
        <w:tblCellMar>
          <w:top w:w="28" w:type="dxa"/>
          <w:left w:w="28" w:type="dxa"/>
          <w:bottom w:w="28" w:type="dxa"/>
          <w:right w:w="28" w:type="dxa"/>
        </w:tblCellMar>
      </w:tblPr>
      <w:tblGrid>
        <w:gridCol w:w="2701"/>
        <w:gridCol w:w="146"/>
        <w:gridCol w:w="211"/>
        <w:gridCol w:w="631"/>
        <w:gridCol w:w="166"/>
        <w:gridCol w:w="146"/>
        <w:gridCol w:w="211"/>
        <w:gridCol w:w="631"/>
        <w:gridCol w:w="4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expense was $0.2 million for each of the years ended December 31, 2024 and 2023.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4.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value of intangible assets and their estimated useful life as of December 31, 2024 are as follows (dollars in thousands):</w:t>
      </w:r>
    </w:p>
    <w:p>
      <w:pPr>
        <w:pStyle w:val="TextBody"/>
        <w:bidi w:val="0"/>
        <w:spacing w:before="200" w:after="283"/>
        <w:jc w:val="both"/>
        <w:rPr/>
      </w:pPr>
      <w:r>
        <w:rPr/>
        <w:t> </w:t>
      </w:r>
    </w:p>
    <w:tbl>
      <w:tblPr>
        <w:tblW w:w="7377" w:type="dxa"/>
        <w:jc w:val="left"/>
        <w:tblInd w:w="0" w:type="dxa"/>
        <w:tblLayout w:type="fixed"/>
        <w:tblCellMar>
          <w:top w:w="28" w:type="dxa"/>
          <w:left w:w="28" w:type="dxa"/>
          <w:bottom w:w="28" w:type="dxa"/>
          <w:right w:w="28" w:type="dxa"/>
        </w:tblCellMar>
      </w:tblPr>
      <w:tblGrid>
        <w:gridCol w:w="2101"/>
        <w:gridCol w:w="146"/>
        <w:gridCol w:w="1276"/>
        <w:gridCol w:w="146"/>
        <w:gridCol w:w="211"/>
        <w:gridCol w:w="571"/>
        <w:gridCol w:w="146"/>
        <w:gridCol w:w="146"/>
        <w:gridCol w:w="312"/>
        <w:gridCol w:w="934"/>
        <w:gridCol w:w="166"/>
        <w:gridCol w:w="146"/>
        <w:gridCol w:w="239"/>
        <w:gridCol w:w="646"/>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and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and 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and 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value of intangible assets and their estimated useful life as of December 31, 2023 are as follows (dollars in thousands):</w:t>
      </w:r>
    </w:p>
    <w:p>
      <w:pPr>
        <w:pStyle w:val="TextBody"/>
        <w:bidi w:val="0"/>
        <w:spacing w:before="200" w:after="283"/>
        <w:jc w:val="both"/>
        <w:rPr/>
      </w:pPr>
      <w:r>
        <w:rPr/>
        <w:t> </w:t>
      </w:r>
    </w:p>
    <w:tbl>
      <w:tblPr>
        <w:tblW w:w="7377" w:type="dxa"/>
        <w:jc w:val="left"/>
        <w:tblInd w:w="0" w:type="dxa"/>
        <w:tblLayout w:type="fixed"/>
        <w:tblCellMar>
          <w:top w:w="28" w:type="dxa"/>
          <w:left w:w="28" w:type="dxa"/>
          <w:bottom w:w="28" w:type="dxa"/>
          <w:right w:w="28" w:type="dxa"/>
        </w:tblCellMar>
      </w:tblPr>
      <w:tblGrid>
        <w:gridCol w:w="2101"/>
        <w:gridCol w:w="146"/>
        <w:gridCol w:w="1276"/>
        <w:gridCol w:w="146"/>
        <w:gridCol w:w="211"/>
        <w:gridCol w:w="571"/>
        <w:gridCol w:w="146"/>
        <w:gridCol w:w="146"/>
        <w:gridCol w:w="312"/>
        <w:gridCol w:w="934"/>
        <w:gridCol w:w="166"/>
        <w:gridCol w:w="146"/>
        <w:gridCol w:w="239"/>
        <w:gridCol w:w="646"/>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and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and 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and 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years ended December 31, 2024 and 2023, we recorded $0.4 million of amortization expense on intangible assets. The Company expects to record amortization for the years ended December 31 as follows (in thousands):</w:t>
      </w:r>
    </w:p>
    <w:p>
      <w:pPr>
        <w:pStyle w:val="TextBody"/>
        <w:bidi w:val="0"/>
        <w:jc w:val="both"/>
        <w:rPr/>
      </w:pPr>
      <w:r>
        <w:rPr/>
        <w:t> </w:t>
      </w:r>
    </w:p>
    <w:tbl>
      <w:tblPr>
        <w:tblW w:w="2065" w:type="dxa"/>
        <w:jc w:val="left"/>
        <w:tblInd w:w="0" w:type="dxa"/>
        <w:tblLayout w:type="fixed"/>
        <w:tblCellMar>
          <w:top w:w="28" w:type="dxa"/>
          <w:left w:w="28" w:type="dxa"/>
          <w:bottom w:w="28" w:type="dxa"/>
          <w:right w:w="28" w:type="dxa"/>
        </w:tblCellMar>
      </w:tblPr>
      <w:tblGrid>
        <w:gridCol w:w="946"/>
        <w:gridCol w:w="146"/>
        <w:gridCol w:w="211"/>
        <w:gridCol w:w="57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SUBSCRIPTION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11, 2022, concurrently with our entry into a mutual reseller arrangement with MIRACL Technologies Limited ("MIRACL"), we entered into a subscription agreement with Omlis Limited, a limited company incorporated and registered in England and Wales and the parent of MIRACL ("Omlis"). We purchased $2.5 million of Omlis’ note receivable ("Note") that accrues interest at 5% annually with a maturity date of March 11, 2026. </w:t>
      </w:r>
    </w:p>
    <w:p>
      <w:pPr>
        <w:pStyle w:val="TextBody"/>
        <w:bidi w:val="0"/>
        <w:jc w:val="both"/>
        <w:rPr>
          <w:rFonts w:ascii="Times New Roman" w:hAnsi="Times New Roman"/>
          <w:color w:val="000000"/>
          <w:sz w:val="20"/>
        </w:rPr>
      </w:pPr>
      <w:r>
        <w:rPr>
          <w:rFonts w:ascii="Times New Roman" w:hAnsi="Times New Roman"/>
          <w:color w:val="000000"/>
          <w:sz w:val="20"/>
        </w:rPr>
        <w:t xml:space="preserve">We recorded the Note at fair value in accordance with ASC 825, Financial Instruments, which was $0 as of December 31, 2024 and 2023. For the year ended December 31, 2023 we recorded a fair value adjustment of $2.7 million, which included $0.2 million of accrued interest, to adjust the fair value to $0 as of December 31, 2023. The $2.7 million write off during the year ended December 31, 2023 was the result of the lack of recoverability of the Note due to liquidity concerns as of December 31, 2023. In addition, in January 2024, Omlis and MIRACL petitioned to enter the United Kingdom administration process, which is still ongoing.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deterioration of Omlis' liquidity resulted in our unlikely recoverability of the Note's carrying value and the unlikelihood of a payout as an unsecured creditor from the administration process.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recorded a provision for income tax of $53 thousand and $59 thousand for the years ended December 31, 2024 and 2023, respectively. The components of the provision for income taxes are as follows (in thousands):</w:t>
      </w:r>
    </w:p>
    <w:p>
      <w:pPr>
        <w:pStyle w:val="TextBody"/>
        <w:bidi w:val="0"/>
        <w:jc w:val="both"/>
        <w:rPr/>
      </w:pPr>
      <w:r>
        <w:rPr/>
        <w:t> </w:t>
      </w:r>
    </w:p>
    <w:tbl>
      <w:tblPr>
        <w:tblW w:w="4244" w:type="dxa"/>
        <w:jc w:val="left"/>
        <w:tblInd w:w="0" w:type="dxa"/>
        <w:tblLayout w:type="fixed"/>
        <w:tblCellMar>
          <w:top w:w="28" w:type="dxa"/>
          <w:left w:w="28" w:type="dxa"/>
          <w:bottom w:w="28" w:type="dxa"/>
          <w:right w:w="28" w:type="dxa"/>
        </w:tblCellMar>
      </w:tblPr>
      <w:tblGrid>
        <w:gridCol w:w="2281"/>
        <w:gridCol w:w="146"/>
        <w:gridCol w:w="211"/>
        <w:gridCol w:w="316"/>
        <w:gridCol w:w="146"/>
        <w:gridCol w:w="146"/>
        <w:gridCol w:w="211"/>
        <w:gridCol w:w="376"/>
        <w:gridCol w:w="4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difference between the effective tax rate and the U.S federal statutory rate was driven primarily due to the changes in the valuation allowance of our deferred tax assets, state income taxes and impact of stock-based compensation to the deferred tax assets in both 2024 and 2023. A reconciliation of the U.S. federal statutory rate to the effective tax rate is as follows:</w:t>
      </w:r>
    </w:p>
    <w:p>
      <w:pPr>
        <w:pStyle w:val="TextBody"/>
        <w:bidi w:val="0"/>
        <w:jc w:val="both"/>
        <w:rPr/>
      </w:pPr>
      <w:r>
        <w:rPr/>
        <w:t> </w:t>
      </w:r>
    </w:p>
    <w:tbl>
      <w:tblPr>
        <w:tblW w:w="4722" w:type="dxa"/>
        <w:jc w:val="left"/>
        <w:tblInd w:w="0" w:type="dxa"/>
        <w:tblLayout w:type="fixed"/>
        <w:tblCellMar>
          <w:top w:w="28" w:type="dxa"/>
          <w:left w:w="28" w:type="dxa"/>
          <w:bottom w:w="28" w:type="dxa"/>
          <w:right w:w="28" w:type="dxa"/>
        </w:tblCellMar>
      </w:tblPr>
      <w:tblGrid>
        <w:gridCol w:w="2656"/>
        <w:gridCol w:w="146"/>
        <w:gridCol w:w="147"/>
        <w:gridCol w:w="379"/>
        <w:gridCol w:w="331"/>
        <w:gridCol w:w="146"/>
        <w:gridCol w:w="147"/>
        <w:gridCol w:w="379"/>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rate,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law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4, 2023, Massachusetts enacted tax law changes which included the adoption of a single sales apportionment factor effective on January 1, 2025. As required under ASC 740, Income Taxes, we have accounted for the deferred tax impacts of this tax law change in the period the tax law was enacted, which has the impact of reducing our state deferred tax assets. The change in the deferred tax asset balance related to this was offset by a corresponding decrease in the valuation allowance.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Deferred income taxes - </w:t>
      </w:r>
      <w:r>
        <w:rPr>
          <w:rFonts w:ascii="Times New Roman" w:hAnsi="Times New Roman"/>
          <w:color w:val="000000"/>
          <w:sz w:val="20"/>
        </w:rPr>
        <w:t>We had net deferred tax assets of $0 as of December 31, 2024 and 2023. The principal components of deferred tax assets, net, were as follows at December 31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5829" w:type="dxa"/>
        <w:jc w:val="left"/>
        <w:tblInd w:w="0" w:type="dxa"/>
        <w:tblLayout w:type="fixed"/>
        <w:tblCellMar>
          <w:top w:w="28" w:type="dxa"/>
          <w:left w:w="28" w:type="dxa"/>
          <w:bottom w:w="28" w:type="dxa"/>
          <w:right w:w="28" w:type="dxa"/>
        </w:tblCellMar>
      </w:tblPr>
      <w:tblGrid>
        <w:gridCol w:w="3066"/>
        <w:gridCol w:w="146"/>
        <w:gridCol w:w="211"/>
        <w:gridCol w:w="736"/>
        <w:gridCol w:w="166"/>
        <w:gridCol w:w="146"/>
        <w:gridCol w:w="211"/>
        <w:gridCol w:w="736"/>
        <w:gridCol w:w="411"/>
      </w:tblGrid>
      <w:tr>
        <w:trPr/>
        <w:tc>
          <w:tcPr>
            <w:tcW w:w="3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research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deferred tax assets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$6.7 million of our deferred tax assets relate to research and development credit carryforwards. Further, a significant portion of our deferred tax assets relates to federal and state research and development credits. These credits may only offset 75% of the tax liability after net operating loss carryforwards are utilized and thus, we have the risk that the credits could expire before utilization if sufficient taxable income in the carryforward periods doesn’t exist.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2024, we had a federal net operating loss carryforward of $7.4 million, which may be available to offset future income tax liabilities. $6.8 million of those NOLs can be carried forward indefinitely and the remaining $0.6 million expire in 2037. As of December 31, 2024, we had State NOL carryforwards of $26.5 million, which expire at various dates though 2044.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evaluated and considered all available evidence, both positive and negative, to determine whether, based on the weight of that evidence, a valuation allowance for deferred tax assets was needed. The deferred tax assets are composed principally of net operating loss carryforwards, capitalized research costs and research and development credits. As part of this analysis, we gave more weight to recent, historical evidence than future projections as we consider the past more objective. Under the applicable accounting standards, we considered our history of losses and concluded that is more likely that we will not recognize the benefits of federal and state deferred tax assets. Therefore, we have recorded a full valuation allowance of $13.2 million and $12.5 million at December 31, 2024 and 2023, respectively. During the year ended December 31, 2024, we increased the valuation allowance by $0.7 million from the prior year end. We will continue to monitor the evidence and the realizability of our deferred tax assets in future periods. Should evidence regarding the realizability of our deferred tax assets change at a future point in time, we will adjust the valuation allowance as required.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Internal Revenue Code Section 382, if a corporation undergoes an “ownership change,” the corporation’s ability to use its pre-change NOL carryforwards and other pre-change tax attributes to offset its post-change income may be limited. In connection with our acquisition of FortressID during 2021, the historical NOL carryforwards of $3.5 million from FortressID are likely limited under Section 382 due to a change in ownership triggered by the acquisition, however, we do not expect the limitation to result in any of the NOL carryforwards to expire unused. We have not completed a study at the Aware, Inc. level to assess whether an “ownership change” has occurred or whether there have been multiple ownership changes since we became a “loss corporation” as defined in Section 382. Future changes in our stock ownership, which may be outside of our control, may trigger an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may be limited, which could potentially result in increased future tax liability to us.</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Uncertain tax benefits - </w:t>
      </w:r>
      <w:r>
        <w:rPr>
          <w:rFonts w:ascii="Times New Roman" w:hAnsi="Times New Roman"/>
          <w:color w:val="000000"/>
          <w:sz w:val="20"/>
        </w:rPr>
        <w:t xml:space="preserve">As of December 31, 2024 and 2023, we had $0.7 million of uncertain tax positions that were primarily related to our research and development tax credits. There were no changes to this amount during each of the years ended December 31, 2024 and 2023. The uncertain tax positions will impact our effective tax rate if realized.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Tax examinations – </w:t>
      </w:r>
      <w:r>
        <w:rPr>
          <w:rFonts w:ascii="Times New Roman" w:hAnsi="Times New Roman"/>
          <w:color w:val="000000"/>
          <w:sz w:val="20"/>
        </w:rPr>
        <w:t xml:space="preserve">We file tax returns as prescribed by the tax laws of the jurisdictions in which we operate. In the normal course of business, we are subject to examination by federal and state jurisdictions, where applicable. The earliest tax years that remain subject to examination by jurisdiction is 2019 for both federal and Massachusetts. However, to the extent the Company utilizes net operating losses or credits from years prior to 2019, the statute remains open to the extent of the net operating losses or other credits are utilized.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EQUITY AND STOCK COMPENSATION PLANS</w:t>
      </w:r>
    </w:p>
    <w:p>
      <w:pPr>
        <w:pStyle w:val="TextBody"/>
        <w:bidi w:val="0"/>
        <w:spacing w:before="200" w:after="283"/>
        <w:jc w:val="both"/>
        <w:rPr>
          <w:rFonts w:ascii="Times New Roman" w:hAnsi="Times New Roman"/>
          <w:sz w:val="20"/>
        </w:rPr>
      </w:pPr>
      <w:r>
        <w:rPr>
          <w:rFonts w:ascii="Times New Roman" w:hAnsi="Times New Roman"/>
          <w:b/>
          <w:i/>
          <w:color w:val="000000"/>
          <w:sz w:val="20"/>
        </w:rPr>
        <w:t>Stock Option Plan</w:t>
      </w:r>
      <w:r>
        <w:rPr>
          <w:rFonts w:ascii="Times New Roman" w:hAnsi="Times New Roman"/>
          <w:color w:val="000000"/>
          <w:sz w:val="20"/>
        </w:rPr>
        <w:t xml:space="preserve"> – During the year ended December 31, 2023, we had one active fixed stock option plan, the 2001 Nonqualified Stock Plan (the “2001 Plan”), under which we were authorized to grant nonqualified stock options, stock appreciation rights, and stock awards to employees and directors for up to 8,000,000 shares of common stock. As of December 31, 2023, there were 1,577,130 shares available for grant under the 2001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17, 2024, our shareholders approved the Aware, Inc. 2023 Equity and Incentive Plan (the “2023 Plan”), which replaced the 2001 Plan. The 2023 Plan provides for the grant of various equity-based awards, including incentive stock options, nonstatutory stock options, stock appreciation rights, restricted stock, unrestricted stock, restricted stock units, dividend equivalent rights, and cash awards. The 2023 Plan authorizes the issuance of an aggregate of 1,277,130 shares of common stock, plus an additional number of shares equal to the number of shares subject to outstanding awards under the 2001 Plan that are forfeited, expire unexercised, or are repurchased or withheld to cover taxes or exercise prices, up to a maximum of 2,590,000 shares. As of December 31, 2024, there were 2,175,211 shares available for grant under the 2023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Options are granted with exercise prices as determined by the Board of Directors and have a maximum term of ten years. Options generally vest over three to five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presents stock-based compensation expenses included in our consolidated statements of operations and comprehensive loss (in thousands): </w:t>
      </w:r>
    </w:p>
    <w:p>
      <w:pPr>
        <w:pStyle w:val="TextBody"/>
        <w:bidi w:val="0"/>
        <w:spacing w:before="200" w:after="283"/>
        <w:jc w:val="both"/>
        <w:rPr/>
      </w:pPr>
      <w:r>
        <w:rPr/>
        <w:t> </w:t>
      </w:r>
    </w:p>
    <w:tbl>
      <w:tblPr>
        <w:tblW w:w="5594" w:type="dxa"/>
        <w:jc w:val="left"/>
        <w:tblInd w:w="0" w:type="dxa"/>
        <w:tblLayout w:type="fixed"/>
        <w:tblCellMar>
          <w:top w:w="28" w:type="dxa"/>
          <w:left w:w="28" w:type="dxa"/>
          <w:bottom w:w="28" w:type="dxa"/>
          <w:right w:w="28" w:type="dxa"/>
        </w:tblCellMar>
      </w:tblPr>
      <w:tblGrid>
        <w:gridCol w:w="3201"/>
        <w:gridCol w:w="146"/>
        <w:gridCol w:w="211"/>
        <w:gridCol w:w="571"/>
        <w:gridCol w:w="146"/>
        <w:gridCol w:w="146"/>
        <w:gridCol w:w="211"/>
        <w:gridCol w:w="57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w:t>
              <w:br/>
              <w:t>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Stock-based compensation expense in the preceding table includes expenses associated with grants of: i) stock options, ii) unrestricted shares of our common stock; and iii) performance share awards. The methods used to determine stock-based compensation expense for each type of equity grant are described in the following paragraphs.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Stock Option Grants. </w:t>
      </w:r>
      <w:r>
        <w:rPr>
          <w:rFonts w:ascii="Times New Roman" w:hAnsi="Times New Roman"/>
          <w:color w:val="000000"/>
          <w:sz w:val="20"/>
        </w:rPr>
        <w:t xml:space="preserve">During the year ended December 31, 2024, we granted 640,000 common stock options to purchase our common stock under the 2023 plan. We did not grant any stock options during the year ended December 31, 2023. We estimate the fair value of stock options using the Black-Scholes valuation model.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Black-Scholes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 We account for forfeitures as they occur. We believe that the valuation technique and the approach utilized to develop the underlying assumptions are appropriate in calculating the fair values of stock options granted. Estimates of fair value are not intended to predict actual future events or the value ultimately realized by persons who receive equity awards.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17, 2024, our stockholders approved a stock option exchange program (the “Exchange Offer”) pursuant to which eligible employees, primarily consisting of our executive officers and senior management, were able to exchange certain stock options (the “Eligible Options”) for replacement stock options with modified terms (the “New Options”) as described below. We commenced the Exchange Offer on January 19,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Exchange Offer expired on February 20, 2024. Pursuant to the Exchange Offer, nine employees elected to exchange their Eligible Options, and we accepted for cancellation Eligible Options to purchase an aggregate of 2,180,000 shares of common stock, representing approximately 96% of the total shares of common stock underlying the Eligible Options. Following the expiration of the Exchange Offer, on February 20, 2024, we granted New Options to purchase 933,073 shares of Common Stock, pursuant to the terms of the Exchange Offer and our 2023 Plan.</w:t>
      </w:r>
    </w:p>
    <w:p>
      <w:pPr>
        <w:pStyle w:val="TextBody"/>
        <w:bidi w:val="0"/>
        <w:jc w:val="both"/>
        <w:rPr>
          <w:rFonts w:ascii="Times New Roman" w:hAnsi="Times New Roman"/>
          <w:color w:val="000000"/>
          <w:sz w:val="20"/>
        </w:rPr>
      </w:pPr>
      <w:r>
        <w:rPr>
          <w:rFonts w:ascii="Times New Roman" w:hAnsi="Times New Roman"/>
          <w:color w:val="000000"/>
          <w:sz w:val="20"/>
        </w:rPr>
        <w:t xml:space="preserve">The exercise price per share of the New Options granted pursuant to the Exchange Offer was $2.21 per share. Each New Option will vest and become exercisable, with respect to 50% of the shares of common stock underlying such New Option on the first anniversary of the grant date and, with respect to the remaining shares of common stock underlying such New Option, in twelve equal monthly installments thereafter, subject to the continuous service of the holder. The other terms and conditions of the New Options will be governed by the terms and conditions of the 2023 Plan and the nonstatutory stock option agreements entered into thereunder. </w:t>
      </w:r>
    </w:p>
    <w:p>
      <w:pPr>
        <w:pStyle w:val="TextBody"/>
        <w:bidi w:val="0"/>
        <w:jc w:val="both"/>
        <w:rPr>
          <w:rFonts w:ascii="Times New Roman" w:hAnsi="Times New Roman"/>
          <w:color w:val="000000"/>
          <w:sz w:val="20"/>
        </w:rPr>
      </w:pPr>
      <w:r>
        <w:rPr>
          <w:rFonts w:ascii="Times New Roman" w:hAnsi="Times New Roman"/>
          <w:color w:val="000000"/>
          <w:sz w:val="20"/>
        </w:rPr>
        <w:t>There was no incremental expense for the New Options as calculated using the Black-Scholes option pricing model. The unamortized expense remaining on the Eligible Options, as of the modification date, will be recognized over the new vesting schedule.</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During the year ended December 31, 2024 we expensed an incremental $0.3 million in stock based compensation expense related to the accelerated vesting of stock options of our former Chief Executive Officer. </w:t>
      </w:r>
    </w:p>
    <w:p>
      <w:pPr>
        <w:pStyle w:val="TextBody"/>
        <w:bidi w:val="0"/>
        <w:jc w:val="both"/>
        <w:rPr>
          <w:rFonts w:ascii="Times New Roman" w:hAnsi="Times New Roman"/>
          <w:color w:val="000000"/>
          <w:sz w:val="20"/>
        </w:rPr>
      </w:pPr>
      <w:r>
        <w:rPr>
          <w:rFonts w:ascii="Times New Roman" w:hAnsi="Times New Roman"/>
          <w:color w:val="000000"/>
          <w:sz w:val="20"/>
        </w:rPr>
        <w:t>Specific assumptions used to determine the fair value of options granted during the year ended December 31, 2024, using the Black-Scholes valuation model were as follows:</w:t>
      </w:r>
    </w:p>
    <w:p>
      <w:pPr>
        <w:pStyle w:val="TextBody"/>
        <w:bidi w:val="0"/>
        <w:jc w:val="both"/>
        <w:rPr/>
      </w:pPr>
      <w:r>
        <w:rPr/>
        <w:t> </w:t>
      </w:r>
    </w:p>
    <w:tbl>
      <w:tblPr>
        <w:tblW w:w="4453" w:type="dxa"/>
        <w:jc w:val="left"/>
        <w:tblInd w:w="0" w:type="dxa"/>
        <w:tblLayout w:type="fixed"/>
        <w:tblCellMar>
          <w:top w:w="28" w:type="dxa"/>
          <w:left w:w="28" w:type="dxa"/>
          <w:bottom w:w="28" w:type="dxa"/>
          <w:right w:w="28" w:type="dxa"/>
        </w:tblCellMar>
      </w:tblPr>
      <w:tblGrid>
        <w:gridCol w:w="2731"/>
        <w:gridCol w:w="146"/>
        <w:gridCol w:w="362"/>
        <w:gridCol w:w="898"/>
        <w:gridCol w:w="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term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Expected volatility factor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annual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expected term for each grant was determined based on the simplified method.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expected volatility for each grant is estimated based on an average of historical volatility over the expected term of the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 The risk-free interest rate for each grant is based on the U.S. Treasury yield curve in effect at the time of grant for a period equal to the expected term of the stock option.</w:t>
      </w:r>
    </w:p>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Restricted Stock Units. </w:t>
      </w:r>
      <w:r>
        <w:rPr>
          <w:rFonts w:ascii="Times New Roman" w:hAnsi="Times New Roman"/>
          <w:color w:val="000000"/>
          <w:sz w:val="20"/>
        </w:rPr>
        <w:t xml:space="preserve">The 2023 Plan permits us to grant restricted stock units to our directors, officers, and employees. Upon vesting, each restricted stock unit entitles the recipient to receive a number of shares of common stock as set forth in the relevant restricted stock unit agreement. Stock-based compensation expense for restricted stock units is determined based on the fair market value of our stock on the date of grant, provided the number of shares in the grant is fixed on the grant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granted 284,814 restricted stock units to directors, officers, and employees during the year ended December 31, 2024. Of the restricted stock units granted in 2024, 70,406 vested shortly after June 30, 2024 and 70,408 vested shortly after December 31, 2024. Of the remaining 144,000 restricted stock units, 15,000 vested in November 2024, 6,000 vested in December 2024 and 18,000 are scheduled to vest in June 2025, 2026 and 2027 in 6,000 increments. The remaining 105,000 restricted stock units were forfeited in 2024 as a result of employee terminations.</w:t>
      </w:r>
    </w:p>
    <w:p>
      <w:pPr>
        <w:pStyle w:val="TextBody"/>
        <w:bidi w:val="0"/>
        <w:spacing w:before="200" w:after="283"/>
        <w:jc w:val="both"/>
        <w:rPr>
          <w:rFonts w:ascii="Times New Roman" w:hAnsi="Times New Roman"/>
          <w:sz w:val="20"/>
        </w:rPr>
      </w:pPr>
      <w:r>
        <w:rPr>
          <w:rFonts w:ascii="Times New Roman" w:hAnsi="Times New Roman"/>
          <w:i/>
          <w:color w:val="000000"/>
          <w:sz w:val="20"/>
        </w:rPr>
        <w:t>Unrestricted Stock Grants</w:t>
      </w:r>
      <w:r>
        <w:rPr>
          <w:rFonts w:ascii="Times New Roman" w:hAnsi="Times New Roman"/>
          <w:color w:val="000000"/>
          <w:sz w:val="20"/>
        </w:rPr>
        <w:t xml:space="preserve">. Our 2001 Plan, which was replaced by our 2023 Plan, permitted us to grant shares of unrestricted stock to our directors, officers, and employees. Stock-based compensation expense for stock grants is determined based on the fair market value of our stock on the date of grant; provided the number of shares in the grant is fixed on the grant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granted 134,211 shares of unrestricted stock to directors, officers, and employees during the year ended December 31, 2023. Of these shares granted in 2023, 67,104 were issued shortly after June 30, 2023 and 67,107 were issued shortly after December 31, 2023. 15,000 shares were issued in August 2024 related to a grant in August 2022 and the remaining 15,000 unrestricted stock grants were forfeited in September 2024 as a result of employee termination.</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Stock Options. </w:t>
      </w:r>
      <w:r>
        <w:rPr>
          <w:rFonts w:ascii="Times New Roman" w:hAnsi="Times New Roman"/>
          <w:color w:val="000000"/>
          <w:sz w:val="20"/>
        </w:rPr>
        <w:t xml:space="preserve">Total options outstanding at December 31, 2024 and 2023 were as follows: </w:t>
      </w:r>
    </w:p>
    <w:p>
      <w:pPr>
        <w:pStyle w:val="TextBody"/>
        <w:bidi w:val="0"/>
        <w:jc w:val="left"/>
        <w:rPr/>
      </w:pPr>
      <w:r>
        <w:rPr/>
        <w:t> </w:t>
      </w:r>
    </w:p>
    <w:tbl>
      <w:tblPr>
        <w:tblW w:w="8105" w:type="dxa"/>
        <w:jc w:val="left"/>
        <w:tblInd w:w="0" w:type="dxa"/>
        <w:tblLayout w:type="fixed"/>
        <w:tblCellMar>
          <w:top w:w="28" w:type="dxa"/>
          <w:left w:w="28" w:type="dxa"/>
          <w:bottom w:w="28" w:type="dxa"/>
          <w:right w:w="28" w:type="dxa"/>
        </w:tblCellMar>
      </w:tblPr>
      <w:tblGrid>
        <w:gridCol w:w="2806"/>
        <w:gridCol w:w="146"/>
        <w:gridCol w:w="146"/>
        <w:gridCol w:w="991"/>
        <w:gridCol w:w="166"/>
        <w:gridCol w:w="146"/>
        <w:gridCol w:w="285"/>
        <w:gridCol w:w="631"/>
        <w:gridCol w:w="146"/>
        <w:gridCol w:w="146"/>
        <w:gridCol w:w="146"/>
        <w:gridCol w:w="931"/>
        <w:gridCol w:w="166"/>
        <w:gridCol w:w="146"/>
        <w:gridCol w:w="285"/>
        <w:gridCol w:w="63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 xml:space="preserve">Exercise </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 xml:space="preserve">Exercise </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cancelled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year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(1) Includes 933,073 options granted and 2,180,000 cancelled pursuant to the Exchange Offer.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December 31, 2024, the weighted average remaining contractual term for total options outstanding and total options exercisable was approximately 6.02 and 0.25 years,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December 31, 2024, the aggregate intrinsic value of options outstanding and exercisable was $0. The intrinsic value of a stock option is the amount by which the market value of the underlying stock exceeds the exercise price of the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stock options outstanding at December 31, 2024:</w:t>
      </w:r>
    </w:p>
    <w:tbl>
      <w:tblPr>
        <w:tblW w:w="8403" w:type="dxa"/>
        <w:jc w:val="left"/>
        <w:tblInd w:w="0" w:type="dxa"/>
        <w:tblLayout w:type="fixed"/>
        <w:tblCellMar>
          <w:top w:w="28" w:type="dxa"/>
          <w:left w:w="28" w:type="dxa"/>
          <w:bottom w:w="28" w:type="dxa"/>
          <w:right w:w="28" w:type="dxa"/>
        </w:tblCellMar>
      </w:tblPr>
      <w:tblGrid>
        <w:gridCol w:w="1936"/>
        <w:gridCol w:w="146"/>
        <w:gridCol w:w="146"/>
        <w:gridCol w:w="931"/>
        <w:gridCol w:w="146"/>
        <w:gridCol w:w="146"/>
        <w:gridCol w:w="285"/>
        <w:gridCol w:w="631"/>
        <w:gridCol w:w="146"/>
        <w:gridCol w:w="146"/>
        <w:gridCol w:w="268"/>
        <w:gridCol w:w="858"/>
        <w:gridCol w:w="146"/>
        <w:gridCol w:w="146"/>
        <w:gridCol w:w="146"/>
        <w:gridCol w:w="781"/>
        <w:gridCol w:w="146"/>
        <w:gridCol w:w="146"/>
        <w:gridCol w:w="285"/>
        <w:gridCol w:w="631"/>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Exercisable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Exercise Price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to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to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to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December 31, 2024, unrecognized compensation expense related to non-vested stock options was approximately $0.6 million, which is expected to be recognized over a weighted average period of 3.2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issue common stock from previously authorized but unissued shares to satisfy option exercises and purchases under our Employee Stock Purchase Plan.</w:t>
      </w:r>
    </w:p>
    <w:p>
      <w:pPr>
        <w:pStyle w:val="TextBody"/>
        <w:bidi w:val="0"/>
        <w:spacing w:before="200" w:after="283"/>
        <w:jc w:val="both"/>
        <w:rPr>
          <w:rFonts w:ascii="Times New Roman" w:hAnsi="Times New Roman"/>
          <w:sz w:val="20"/>
        </w:rPr>
      </w:pPr>
      <w:r>
        <w:rPr>
          <w:rFonts w:ascii="Times New Roman" w:hAnsi="Times New Roman"/>
          <w:b/>
          <w:i/>
          <w:color w:val="000000"/>
          <w:sz w:val="20"/>
        </w:rPr>
        <w:t>Employee Stock Purchase Plan</w:t>
      </w:r>
      <w:r>
        <w:rPr>
          <w:rFonts w:ascii="Times New Roman" w:hAnsi="Times New Roman"/>
          <w:color w:val="000000"/>
          <w:sz w:val="20"/>
        </w:rPr>
        <w:t xml:space="preserve"> – In May 2021, we adopted the 2021 Employee Stock Purchase Plan (“2021 ESPP”) under which eligible employees could purchase common stock at a price equal to 85% of the lower of the fair market value of the common stock at the beginning or end of each six-month offering period. Participation in the 2021 ESPP is limited to $25,000 worth of stock for each calendar year, may be terminated at any time by the employee, and automatically ends on termination of employment. A total of 1,000,000 shares of common stock were reserved for issuance under the 2021 ESPP, and as of December 31, 2024, there were 747,404 shares available for future issuance thereunder. We issued 53,440 and 69,591 shares under the 2021 ESPP Plan during the years ended December 31, 2024 and 2023, respectively.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Share Purchases </w:t>
      </w:r>
      <w:r>
        <w:rPr>
          <w:rFonts w:ascii="Times New Roman" w:hAnsi="Times New Roman"/>
          <w:color w:val="000000"/>
          <w:sz w:val="20"/>
        </w:rPr>
        <w:t xml:space="preserve">– On March 1, 2022, our Board of Directors authorized a stock repurchase program pursuant to which we may purchase up to $10.0 million of our common stock. On November 30, 2023, our Board of Directors extended the program through December 31, 2025. As of December 31, 2024 we have repurchased $2.0 million of our common stock pursuant to this program. During the years ended December 31, 2024 and 2023 we repurchased 137,086 and 299,780 shares of our common stock, respectively. The program does not obligate us to acquire any particular amount of common stock and the program may be modified or suspended at any time at our Board of Directors discretion.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Dividends – </w:t>
      </w:r>
      <w:r>
        <w:rPr>
          <w:rFonts w:ascii="Times New Roman" w:hAnsi="Times New Roman"/>
          <w:color w:val="000000"/>
          <w:sz w:val="20"/>
        </w:rPr>
        <w:t>We did not pay dividends in the years ended December 31, 2024 and 2023.</w:t>
      </w:r>
    </w:p>
    <w:p>
      <w:pPr>
        <w:pStyle w:val="TextBody"/>
        <w:bidi w:val="0"/>
        <w:spacing w:before="200" w:after="283"/>
        <w:jc w:val="both"/>
        <w:rPr>
          <w:rFonts w:ascii="Times New Roman" w:hAnsi="Times New Roman"/>
          <w:sz w:val="20"/>
        </w:rPr>
      </w:pPr>
      <w:r>
        <w:rPr>
          <w:rFonts w:ascii="Times New Roman" w:hAnsi="Times New Roman"/>
          <w:b/>
          <w:color w:val="000000"/>
          <w:sz w:val="20"/>
        </w:rPr>
        <w:t>9. LEASES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lease 20,730 rentable square feet at 76 Blanchard Road in Burlington, Massachusetts (the “Leased Space”) which has a term of ten years and six months, which includes a one-time termination right after seven years and six months. The term of the lease commenced on October 1, 2022, the date that the landlord notified us that the planned construction on the Leased Space was substantially complete. The lease provides for an aggregate of $8.2 million of rent payments over the lease term and also provides a renewal option for up to two additional terms of five years each.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lease expense included in the consolidated statements of operations and comprehensive loss are as follows (in thousands):</w:t>
      </w:r>
    </w:p>
    <w:tbl>
      <w:tblPr>
        <w:tblW w:w="5134" w:type="dxa"/>
        <w:jc w:val="left"/>
        <w:tblInd w:w="0" w:type="dxa"/>
        <w:tblLayout w:type="fixed"/>
        <w:tblCellMar>
          <w:top w:w="28" w:type="dxa"/>
          <w:left w:w="28" w:type="dxa"/>
          <w:bottom w:w="28" w:type="dxa"/>
          <w:right w:w="28" w:type="dxa"/>
        </w:tblCellMar>
      </w:tblPr>
      <w:tblGrid>
        <w:gridCol w:w="1831"/>
        <w:gridCol w:w="146"/>
        <w:gridCol w:w="402"/>
        <w:gridCol w:w="803"/>
        <w:gridCol w:w="278"/>
        <w:gridCol w:w="278"/>
        <w:gridCol w:w="402"/>
        <w:gridCol w:w="803"/>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Supplemental balance sheet information related to the Company's operating lease was as follows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44" w:type="dxa"/>
        <w:jc w:val="left"/>
        <w:tblInd w:w="0" w:type="dxa"/>
        <w:tblLayout w:type="fixed"/>
        <w:tblCellMar>
          <w:top w:w="28" w:type="dxa"/>
          <w:left w:w="28" w:type="dxa"/>
          <w:bottom w:w="28" w:type="dxa"/>
          <w:right w:w="28" w:type="dxa"/>
        </w:tblCellMar>
      </w:tblPr>
      <w:tblGrid>
        <w:gridCol w:w="3901"/>
        <w:gridCol w:w="146"/>
        <w:gridCol w:w="211"/>
        <w:gridCol w:w="571"/>
        <w:gridCol w:w="271"/>
        <w:gridCol w:w="146"/>
        <w:gridCol w:w="211"/>
        <w:gridCol w:w="571"/>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incremental borrowing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discount rate implicit in the lease was not readily determinable, and as such, we engaged a third-party valuation specialist to calculate the incremental borrowing rate (“IBR”). The IBR was determined as of the lease commencement date and was dependent on several factors including the amount of lease payments, our credit rating based on a collateralized borrowing, the lease term and the currency of the lease.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minimum lease payments for operating leases with initial remaining terms in excess of one year as of December 31, 2024 are as follows:</w:t>
      </w:r>
    </w:p>
    <w:p>
      <w:pPr>
        <w:pStyle w:val="TextBody"/>
        <w:bidi w:val="0"/>
        <w:spacing w:before="200" w:after="283"/>
        <w:jc w:val="both"/>
        <w:rPr/>
      </w:pPr>
      <w:r>
        <w:rPr/>
        <w:t> </w:t>
      </w:r>
    </w:p>
    <w:tbl>
      <w:tblPr>
        <w:tblW w:w="3855" w:type="dxa"/>
        <w:jc w:val="left"/>
        <w:tblInd w:w="0" w:type="dxa"/>
        <w:tblLayout w:type="fixed"/>
        <w:tblCellMar>
          <w:top w:w="28" w:type="dxa"/>
          <w:left w:w="28" w:type="dxa"/>
          <w:bottom w:w="28" w:type="dxa"/>
          <w:right w:w="28" w:type="dxa"/>
        </w:tblCellMar>
      </w:tblPr>
      <w:tblGrid>
        <w:gridCol w:w="2656"/>
        <w:gridCol w:w="146"/>
        <w:gridCol w:w="211"/>
        <w:gridCol w:w="63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implied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10. COMMITMENTS AND CONTINGENT LIABILITIES</w:t>
      </w:r>
    </w:p>
    <w:p>
      <w:pPr>
        <w:pStyle w:val="TextBody"/>
        <w:bidi w:val="0"/>
        <w:spacing w:before="200" w:after="283"/>
        <w:jc w:val="both"/>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 There are no material pending legal proceedings to which we are a party or to which any of our properties are subject which, either individually or in the aggregate, are expected to have a material adverse effect on our business, financial position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Guarantees and Indemnification Obligations </w:t>
      </w:r>
      <w:r>
        <w:rPr>
          <w:rFonts w:ascii="Times New Roman" w:hAnsi="Times New Roman"/>
          <w:color w:val="000000"/>
          <w:sz w:val="20"/>
        </w:rPr>
        <w:t>– We enter into agreements in the ordinary course of business that require us: i) to perform under the terms of the contracts, ii) to protect the confidentiality of our customers’ intellectual property, and iii) to indemnify customers, including indemnification against third party claims alleging infringement of intellectual property rights. We also have agreements with each of our directors and executive officers to indemnify such directors or executive officers, to the extent legally permissible, against all liabilities reasonably incurred in connection with any action in which such individual may be involved by reason of such individual being or having been a director or officer of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Given the nature of the above obligations and agreements, we are unable to make a reasonable estimate of the maximum potential amount that we could be required to pay. Historically, we have not made any significant payments on the above guarantees and indemnifications, and no amount has been accrued in the accompanying consolidated financial statements with respect to these guarantees and indemnifications.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EMPLOYEE BENEFIT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1994, we established a qualified 401(k) Retirement Plan (the “401K Plan”) under which employees are allowed to contribute certain percentages of their pay, up to the maximum allowed under Section 401(k) of the Internal Revenue Code. Our contributions to the 401K Plan are at the discretion of the Board of Directors. Our contributions were $0.3 million and $0.4 million in 2024 and 2023,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common shares used in the computation of diluted net loss per share for the periods presented does not include the effect of the following potentially outstanding common shares because the effect would have been anti-dilutive (in thousands):</w:t>
      </w:r>
    </w:p>
    <w:tbl>
      <w:tblPr>
        <w:tblW w:w="3309" w:type="dxa"/>
        <w:jc w:val="left"/>
        <w:tblInd w:w="0" w:type="dxa"/>
        <w:tblLayout w:type="fixed"/>
        <w:tblCellMar>
          <w:top w:w="28" w:type="dxa"/>
          <w:left w:w="28" w:type="dxa"/>
          <w:bottom w:w="28" w:type="dxa"/>
          <w:right w:w="28" w:type="dxa"/>
        </w:tblCellMar>
      </w:tblPr>
      <w:tblGrid>
        <w:gridCol w:w="1246"/>
        <w:gridCol w:w="146"/>
        <w:gridCol w:w="146"/>
        <w:gridCol w:w="571"/>
        <w:gridCol w:w="146"/>
        <w:gridCol w:w="146"/>
        <w:gridCol w:w="146"/>
        <w:gridCol w:w="57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loss per share is calculated as follows (in thousands, except per share data): </w:t>
      </w:r>
    </w:p>
    <w:p>
      <w:pPr>
        <w:pStyle w:val="TextBody"/>
        <w:bidi w:val="0"/>
        <w:jc w:val="both"/>
        <w:rPr/>
      </w:pPr>
      <w:r>
        <w:rPr/>
        <w:t> </w:t>
      </w:r>
    </w:p>
    <w:tbl>
      <w:tblPr>
        <w:tblW w:w="6739" w:type="dxa"/>
        <w:jc w:val="left"/>
        <w:tblInd w:w="0" w:type="dxa"/>
        <w:tblLayout w:type="fixed"/>
        <w:tblCellMar>
          <w:top w:w="28" w:type="dxa"/>
          <w:left w:w="28" w:type="dxa"/>
          <w:bottom w:w="28" w:type="dxa"/>
          <w:right w:w="28" w:type="dxa"/>
        </w:tblCellMar>
      </w:tblPr>
      <w:tblGrid>
        <w:gridCol w:w="4116"/>
        <w:gridCol w:w="146"/>
        <w:gridCol w:w="211"/>
        <w:gridCol w:w="676"/>
        <w:gridCol w:w="166"/>
        <w:gridCol w:w="146"/>
        <w:gridCol w:w="211"/>
        <w:gridCol w:w="676"/>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dilutive common stock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SUBSEQUENT EVENT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2024, the Board of Directors of Aware, Inc. initiated a CEO transition process. Robert Eckel stepped down as CEO and President effective December 31, 2024. On February 3, 2025, the Board appointed, Ajay K. Amlani as the new Chief Executive Officer and President.</w:t>
      </w:r>
    </w:p>
    <w:p>
      <w:pPr>
        <w:pStyle w:val="TextBody"/>
        <w:bidi w:val="0"/>
        <w:spacing w:before="200" w:after="283"/>
        <w:jc w:val="left"/>
        <w:rPr/>
      </w:pPr>
      <w:r>
        <w:rPr/>
        <w:t> </w:t>
      </w:r>
    </w:p>
    <w:p>
      <w:pPr>
        <w:pStyle w:val="TextBody"/>
        <w:bidi w:val="0"/>
        <w:jc w:val="both"/>
        <w:rPr>
          <w:rFonts w:ascii="Times New Roman" w:hAnsi="Times New Roman"/>
          <w:b/>
          <w:color w:val="000000"/>
          <w:sz w:val="20"/>
        </w:rPr>
      </w:pPr>
      <w:bookmarkStart w:id="17" w:name="item_9_changes_in_disagreements_with_acc"/>
      <w:bookmarkEnd w:id="17"/>
      <w:r>
        <w:rPr>
          <w:rFonts w:ascii="Times New Roman" w:hAnsi="Times New Roman"/>
          <w:b/>
          <w:color w:val="000000"/>
          <w:sz w:val="20"/>
        </w:rPr>
        <w:t>ITEM 9. CHANGES IN AND DISAGREEMENTS WITH ACCOUNTANTS ON ACCOUNTING AND FINANCIAL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8" w:name="item_9a_controls_procedures"/>
      <w:bookmarkEnd w:id="18"/>
      <w:r>
        <w:rPr>
          <w:rFonts w:ascii="Times New Roman" w:hAnsi="Times New Roman"/>
          <w:b/>
          <w:color w:val="000000"/>
          <w:sz w:val="20"/>
        </w:rPr>
        <w:t>ITEM 9A. CONTROLS 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Conclusion Regarding the Effectiveness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principal financial officer, we conducted an evaluation of our disclosure controls and procedures, as such term is defined under Rule 13a-15(e) promulgated under the Securities Exchange Act of 1934, as amended (the “Exchange Act”). Based on this evaluation, our chief executive officer and chief financial officer concluded that our disclosure controls and procedures were effective as of the end of the period covered by this annual report.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2024, our Chief Executive Officer resigned, and our Chief Financial Officer assumed the role of Interim Chief Executive Officer while continuing to serve as Chief Financial Officer. In February 2024, we hired a new Chief Executive Officer, and the Interim Chief Executive Officer returned to his role as Chief Financial Officer. While these leadership transitions represent significant changes in our executive team, we have assessed their impact on our internal control over financial reporting and determined that these changes have not materially affected the design or operation of our internal controls.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updated our internal control documentation in light of these organizational changes. We will continue to monitor and update our internal control processes as necessary to ensure their effectiveness.</w:t>
      </w:r>
    </w:p>
    <w:p>
      <w:pPr>
        <w:pStyle w:val="TextBody"/>
        <w:bidi w:val="0"/>
        <w:spacing w:before="200" w:after="283"/>
        <w:jc w:val="both"/>
        <w:rPr>
          <w:rFonts w:ascii="Times New Roman" w:hAnsi="Times New Roman"/>
          <w:sz w:val="20"/>
        </w:rPr>
      </w:pPr>
      <w:r>
        <w:rPr>
          <w:rFonts w:ascii="Times New Roman" w:hAnsi="Times New Roman"/>
          <w:b/>
          <w:color w:val="000000"/>
          <w:sz w:val="20"/>
        </w:rPr>
        <w:t>Management’s Report on Internal Control Over Financial Reporting</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defined in Rules 13(a)-15(f) under the Exchange Act.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hAnsi="Times New Roman"/>
          <w:i/>
          <w:color w:val="000000"/>
          <w:sz w:val="20"/>
        </w:rPr>
        <w:t xml:space="preserve">Internal Control - Integrated Framework </w:t>
      </w:r>
      <w:r>
        <w:rPr>
          <w:rFonts w:ascii="Times New Roman" w:hAnsi="Times New Roman"/>
          <w:color w:val="000000"/>
          <w:sz w:val="20"/>
        </w:rPr>
        <w:t xml:space="preserve">issued by the Committee of Sponsoring Organizations of the Treadway Commission in 2013. Based on our evaluation under the framework in </w:t>
      </w:r>
      <w:r>
        <w:rPr>
          <w:rFonts w:ascii="Times New Roman" w:hAnsi="Times New Roman"/>
          <w:i/>
          <w:color w:val="000000"/>
          <w:sz w:val="20"/>
        </w:rPr>
        <w:t>Internal Control — Integrated Framework</w:t>
      </w:r>
      <w:r>
        <w:rPr>
          <w:rFonts w:ascii="Times New Roman" w:hAnsi="Times New Roman"/>
          <w:color w:val="000000"/>
          <w:sz w:val="20"/>
        </w:rPr>
        <w:t xml:space="preserve">, our management concluded that our internal control over financial reporting was effective as of December 31, 2024. </w:t>
      </w:r>
    </w:p>
    <w:p>
      <w:pPr>
        <w:pStyle w:val="TextBody"/>
        <w:bidi w:val="0"/>
        <w:spacing w:before="200" w:after="283"/>
        <w:jc w:val="both"/>
        <w:rPr>
          <w:rFonts w:ascii="Times New Roman" w:hAnsi="Times New Roman"/>
          <w:b/>
          <w:color w:val="000000"/>
          <w:sz w:val="20"/>
        </w:rPr>
      </w:pPr>
      <w:bookmarkStart w:id="19" w:name="item_9b_or_information"/>
      <w:bookmarkEnd w:id="19"/>
      <w:r>
        <w:rPr>
          <w:rFonts w:ascii="Times New Roman" w:hAnsi="Times New Roman"/>
          <w:b/>
          <w:color w:val="000000"/>
          <w:sz w:val="20"/>
        </w:rPr>
        <w:t>ITEM 9B. OTHER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December 31, 2024,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9C. DISCLOSURE REGARDING FOREIGN JURISDICTIONS THAT PREVENT INSPECTIONS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00" w:after="283"/>
        <w:jc w:val="both"/>
        <w:rPr>
          <w:rFonts w:ascii="Times New Roman" w:hAnsi="Times New Roman"/>
          <w:b/>
          <w:color w:val="000000"/>
          <w:sz w:val="20"/>
        </w:rPr>
      </w:pPr>
      <w:bookmarkStart w:id="20" w:name="item_10_directors_executive_ficers_corpo"/>
      <w:bookmarkEnd w:id="20"/>
      <w:r>
        <w:rPr>
          <w:rFonts w:ascii="Times New Roman" w:hAnsi="Times New Roman"/>
          <w:b/>
          <w:color w:val="000000"/>
          <w:sz w:val="20"/>
        </w:rPr>
        <w:t>ITEM 10. DIRECTORS, EXECUTIVE OFFICERS AND CORPORATE GOVERNANCE</w:t>
      </w:r>
    </w:p>
    <w:p>
      <w:pPr>
        <w:pStyle w:val="TextBody"/>
        <w:bidi w:val="0"/>
        <w:spacing w:before="200" w:after="283"/>
        <w:jc w:val="both"/>
        <w:rPr>
          <w:rFonts w:ascii="Times New Roman" w:hAnsi="Times New Roman"/>
          <w:sz w:val="20"/>
        </w:rPr>
      </w:pPr>
      <w:r>
        <w:rPr>
          <w:rFonts w:ascii="Times New Roman" w:hAnsi="Times New Roman"/>
          <w:color w:val="000000"/>
          <w:sz w:val="20"/>
        </w:rPr>
        <w:t>The information required by Item 10 of Form 10-K is incorporated by reference from the information contained in the sections captioned “</w:t>
      </w:r>
      <w:r>
        <w:rPr>
          <w:rFonts w:ascii="Times New Roman" w:hAnsi="Times New Roman"/>
          <w:i/>
          <w:color w:val="000000"/>
          <w:sz w:val="20"/>
        </w:rPr>
        <w:t>Directors and Executive Officers”, “Corporate Governance</w:t>
      </w:r>
      <w:r>
        <w:rPr>
          <w:rFonts w:ascii="Times New Roman" w:hAnsi="Times New Roman"/>
          <w:color w:val="000000"/>
          <w:sz w:val="20"/>
        </w:rPr>
        <w:t>” and “</w:t>
      </w:r>
      <w:r>
        <w:rPr>
          <w:rFonts w:ascii="Times New Roman" w:hAnsi="Times New Roman"/>
          <w:i/>
          <w:color w:val="000000"/>
          <w:sz w:val="20"/>
        </w:rPr>
        <w:t>Section 16(a</w:t>
      </w:r>
      <w:r>
        <w:rPr>
          <w:rFonts w:ascii="Times New Roman" w:hAnsi="Times New Roman"/>
          <w:color w:val="000000"/>
          <w:sz w:val="20"/>
        </w:rPr>
        <w:t xml:space="preserve">) </w:t>
      </w:r>
      <w:r>
        <w:rPr>
          <w:rFonts w:ascii="Times New Roman" w:hAnsi="Times New Roman"/>
          <w:i/>
          <w:color w:val="000000"/>
          <w:sz w:val="20"/>
        </w:rPr>
        <w:t xml:space="preserve">Beneficial Ownership Reporting Compliance” </w:t>
      </w:r>
      <w:r>
        <w:rPr>
          <w:rFonts w:ascii="Times New Roman" w:hAnsi="Times New Roman"/>
          <w:color w:val="000000"/>
          <w:sz w:val="20"/>
        </w:rPr>
        <w:t>in the Proxy Statement that will be delivered to our shareholders in connection with our June 11, 2025 Annual Meeting of Shareholders.</w:t>
      </w:r>
    </w:p>
    <w:p>
      <w:pPr>
        <w:pStyle w:val="TextBody"/>
        <w:bidi w:val="0"/>
        <w:spacing w:before="200" w:after="283"/>
        <w:jc w:val="both"/>
        <w:rPr>
          <w:rFonts w:ascii="Times New Roman" w:hAnsi="Times New Roman"/>
          <w:b/>
          <w:color w:val="000000"/>
          <w:sz w:val="20"/>
        </w:rPr>
      </w:pPr>
      <w:bookmarkStart w:id="21" w:name="item_11_executive_compensation"/>
      <w:bookmarkEnd w:id="21"/>
      <w:r>
        <w:rPr>
          <w:rFonts w:ascii="Times New Roman" w:hAnsi="Times New Roman"/>
          <w:b/>
          <w:color w:val="000000"/>
          <w:sz w:val="20"/>
        </w:rPr>
        <w:t>ITEM 11. EXECUTIVE COMPENSATION</w:t>
      </w:r>
    </w:p>
    <w:p>
      <w:pPr>
        <w:pStyle w:val="TextBody"/>
        <w:bidi w:val="0"/>
        <w:spacing w:before="200" w:after="283"/>
        <w:jc w:val="both"/>
        <w:rPr>
          <w:rFonts w:ascii="Times New Roman" w:hAnsi="Times New Roman"/>
          <w:sz w:val="20"/>
        </w:rPr>
      </w:pPr>
      <w:r>
        <w:rPr>
          <w:rFonts w:ascii="Times New Roman" w:hAnsi="Times New Roman"/>
          <w:color w:val="000000"/>
          <w:sz w:val="20"/>
        </w:rPr>
        <w:t>The information required by Item 11 of Form 10-K is incorporated by reference from the information contained in the section captioned “</w:t>
      </w:r>
      <w:r>
        <w:rPr>
          <w:rFonts w:ascii="Times New Roman" w:hAnsi="Times New Roman"/>
          <w:i/>
          <w:color w:val="000000"/>
          <w:sz w:val="20"/>
        </w:rPr>
        <w:t>Executive Compensation”</w:t>
      </w:r>
      <w:r>
        <w:rPr>
          <w:rFonts w:ascii="Times New Roman" w:hAnsi="Times New Roman"/>
          <w:color w:val="000000"/>
          <w:sz w:val="20"/>
        </w:rPr>
        <w:t xml:space="preserve"> in the Proxy Statement that will be delivered to our shareholders in connection with our June 11, 2025 Annual Meeting of Shareholders.</w:t>
      </w:r>
    </w:p>
    <w:p>
      <w:pPr>
        <w:pStyle w:val="TextBody"/>
        <w:bidi w:val="0"/>
        <w:spacing w:before="200" w:after="283"/>
        <w:jc w:val="both"/>
        <w:rPr>
          <w:rFonts w:ascii="Times New Roman" w:hAnsi="Times New Roman"/>
          <w:b/>
          <w:color w:val="000000"/>
          <w:sz w:val="20"/>
        </w:rPr>
      </w:pPr>
      <w:bookmarkStart w:id="22" w:name="item_12_security_ownership_certain_benef"/>
      <w:bookmarkEnd w:id="22"/>
      <w:r>
        <w:rPr>
          <w:rFonts w:ascii="Times New Roman" w:hAnsi="Times New Roman"/>
          <w:b/>
          <w:color w:val="000000"/>
          <w:sz w:val="20"/>
        </w:rPr>
        <w:t>ITEM 12. SECURITY OWNERSHIP OF CERTAIN BENEFICIAL OWNERS AND MANAGEMENT AND RELATED STOCKHOLDER MATTERS</w:t>
      </w:r>
    </w:p>
    <w:p>
      <w:pPr>
        <w:pStyle w:val="TextBody"/>
        <w:bidi w:val="0"/>
        <w:spacing w:before="200" w:after="283"/>
        <w:jc w:val="both"/>
        <w:rPr>
          <w:rFonts w:ascii="Times New Roman" w:hAnsi="Times New Roman"/>
          <w:sz w:val="20"/>
        </w:rPr>
      </w:pPr>
      <w:r>
        <w:rPr>
          <w:rFonts w:ascii="Times New Roman" w:hAnsi="Times New Roman"/>
          <w:color w:val="000000"/>
          <w:sz w:val="20"/>
        </w:rPr>
        <w:t>The information required by Item 12 of Form 10-K is incorporated by reference from the information contained in the section captioned “</w:t>
      </w:r>
      <w:r>
        <w:rPr>
          <w:rFonts w:ascii="Times New Roman" w:hAnsi="Times New Roman"/>
          <w:i/>
          <w:color w:val="000000"/>
          <w:sz w:val="20"/>
        </w:rPr>
        <w:t>Security Ownership of Certain Beneficial Owners and Management and Related Stockholder Matters”</w:t>
      </w:r>
      <w:r>
        <w:rPr>
          <w:rFonts w:ascii="Times New Roman" w:hAnsi="Times New Roman"/>
          <w:color w:val="000000"/>
          <w:sz w:val="20"/>
        </w:rPr>
        <w:t xml:space="preserve"> in the Proxy Statement that will be delivered to our shareholders in connection with our June 11, 2025 Annual Meeting of Shareholders.</w:t>
      </w:r>
    </w:p>
    <w:p>
      <w:pPr>
        <w:pStyle w:val="TextBody"/>
        <w:bidi w:val="0"/>
        <w:spacing w:before="200" w:after="283"/>
        <w:jc w:val="both"/>
        <w:rPr>
          <w:rFonts w:ascii="Times New Roman" w:hAnsi="Times New Roman"/>
          <w:b/>
          <w:color w:val="000000"/>
          <w:sz w:val="20"/>
        </w:rPr>
      </w:pPr>
      <w:bookmarkStart w:id="23" w:name="item_13_certain_relationships_related_tr"/>
      <w:bookmarkEnd w:id="23"/>
      <w:r>
        <w:rPr>
          <w:rFonts w:ascii="Times New Roman" w:hAnsi="Times New Roman"/>
          <w:b/>
          <w:color w:val="000000"/>
          <w:sz w:val="20"/>
        </w:rPr>
        <w:t>ITEM 13. CERTAIN RELATIONSHIPS AND RELATED TRANSACTIONS, AND DIRECTOR INDEPENDENCE</w:t>
      </w:r>
    </w:p>
    <w:p>
      <w:pPr>
        <w:pStyle w:val="TextBody"/>
        <w:bidi w:val="0"/>
        <w:spacing w:before="200" w:after="283"/>
        <w:jc w:val="both"/>
        <w:rPr>
          <w:rFonts w:ascii="Times New Roman" w:hAnsi="Times New Roman"/>
          <w:sz w:val="20"/>
        </w:rPr>
      </w:pPr>
      <w:r>
        <w:rPr>
          <w:rFonts w:ascii="Times New Roman" w:hAnsi="Times New Roman"/>
          <w:color w:val="000000"/>
          <w:sz w:val="20"/>
        </w:rPr>
        <w:t>The information, if any, required by Item 13 of Form 10-K is incorporated by reference from the information contained in the sections captioned “</w:t>
      </w:r>
      <w:r>
        <w:rPr>
          <w:rFonts w:ascii="Times New Roman" w:hAnsi="Times New Roman"/>
          <w:i/>
          <w:color w:val="000000"/>
          <w:sz w:val="20"/>
        </w:rPr>
        <w:t>Corporate Governance”</w:t>
      </w:r>
      <w:r>
        <w:rPr>
          <w:rFonts w:ascii="Times New Roman" w:hAnsi="Times New Roman"/>
          <w:color w:val="000000"/>
          <w:sz w:val="20"/>
        </w:rPr>
        <w:t xml:space="preserve"> and “</w:t>
      </w:r>
      <w:r>
        <w:rPr>
          <w:rFonts w:ascii="Times New Roman" w:hAnsi="Times New Roman"/>
          <w:i/>
          <w:color w:val="000000"/>
          <w:sz w:val="20"/>
        </w:rPr>
        <w:t>Certain Relationships and Related Transactions”</w:t>
      </w:r>
      <w:r>
        <w:rPr>
          <w:rFonts w:ascii="Times New Roman" w:hAnsi="Times New Roman"/>
          <w:color w:val="000000"/>
          <w:sz w:val="20"/>
        </w:rPr>
        <w:t xml:space="preserve"> in the Proxy Statement that will be delivered to our shareholders in connection with our June 11, 2025 Annual Meeting of Shareholders. </w:t>
      </w:r>
    </w:p>
    <w:p>
      <w:pPr>
        <w:pStyle w:val="TextBody"/>
        <w:bidi w:val="0"/>
        <w:spacing w:before="200" w:after="283"/>
        <w:jc w:val="both"/>
        <w:rPr>
          <w:rFonts w:ascii="Times New Roman" w:hAnsi="Times New Roman"/>
          <w:b/>
          <w:color w:val="000000"/>
          <w:sz w:val="20"/>
        </w:rPr>
      </w:pPr>
      <w:bookmarkStart w:id="24" w:name="item_14_principal_accountant_fees_servic"/>
      <w:bookmarkEnd w:id="24"/>
      <w:r>
        <w:rPr>
          <w:rFonts w:ascii="Times New Roman" w:hAnsi="Times New Roman"/>
          <w:b/>
          <w:color w:val="000000"/>
          <w:sz w:val="20"/>
        </w:rPr>
        <w:t>ITEM 14. PRINCIPAL ACCOUNTANT FEES AND SERVICES</w:t>
      </w:r>
    </w:p>
    <w:p>
      <w:pPr>
        <w:pStyle w:val="TextBody"/>
        <w:bidi w:val="0"/>
        <w:spacing w:before="200" w:after="283"/>
        <w:jc w:val="both"/>
        <w:rPr>
          <w:rFonts w:ascii="Times New Roman" w:hAnsi="Times New Roman"/>
          <w:sz w:val="20"/>
        </w:rPr>
      </w:pPr>
      <w:r>
        <w:rPr>
          <w:rFonts w:ascii="Times New Roman" w:hAnsi="Times New Roman"/>
          <w:color w:val="000000"/>
          <w:sz w:val="20"/>
        </w:rPr>
        <w:t>The information required by Item 14 of Form 10-K is incorporated by reference from the information contained in the section captioned “</w:t>
      </w:r>
      <w:r>
        <w:rPr>
          <w:rFonts w:ascii="Times New Roman" w:hAnsi="Times New Roman"/>
          <w:i/>
          <w:color w:val="000000"/>
          <w:sz w:val="20"/>
        </w:rPr>
        <w:t>Independent Accountants”</w:t>
      </w:r>
      <w:r>
        <w:rPr>
          <w:rFonts w:ascii="Times New Roman" w:hAnsi="Times New Roman"/>
          <w:color w:val="000000"/>
          <w:sz w:val="20"/>
        </w:rPr>
        <w:t xml:space="preserve"> in the Proxy Statement that will be delivered to our shareholders in connection with our June 11, 2025 Annual Meeting of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part_iv"/>
      <w:bookmarkEnd w:id="2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00" w:after="283"/>
        <w:jc w:val="both"/>
        <w:rPr>
          <w:rFonts w:ascii="Times New Roman" w:hAnsi="Times New Roman"/>
          <w:b/>
          <w:color w:val="000000"/>
          <w:sz w:val="20"/>
        </w:rPr>
      </w:pPr>
      <w:bookmarkStart w:id="26" w:name="item_15_exhibits_financial_statement_sch"/>
      <w:bookmarkEnd w:id="26"/>
      <w:r>
        <w:rPr>
          <w:rFonts w:ascii="Times New Roman" w:hAnsi="Times New Roman"/>
          <w:b/>
          <w:color w:val="000000"/>
          <w:sz w:val="20"/>
        </w:rPr>
        <w:t>ITEM 15. EXHIBITS AND FINANCIAL STATEMENT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documents are filed as part of this report: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pPr>
      <w:r>
        <w:rPr>
          <w:rFonts w:ascii="Times New Roman" w:hAnsi="Times New Roman"/>
          <w:color w:val="000000"/>
          <w:sz w:val="20"/>
        </w:rPr>
        <w:t>Financial Statements and Exhibits</w:t>
      </w:r>
      <w:r>
        <w:rPr>
          <w:rFonts w:ascii="Times New Roman" w:hAnsi="Times New Roman"/>
          <w:b/>
          <w:color w:val="000000"/>
          <w:sz w:val="20"/>
        </w:rPr>
        <w: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628"/>
        <w:gridCol w:w="577"/>
      </w:tblGrid>
      <w:tr>
        <w:trPr/>
        <w:tc>
          <w:tcPr>
            <w:tcW w:w="962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9628" w:type="dxa"/>
            <w:tcBorders/>
            <w:tcMar>
              <w:top w:w="0" w:type="dxa"/>
              <w:left w:w="0" w:type="dxa"/>
              <w:bottom w:w="0" w:type="dxa"/>
              <w:right w:w="0" w:type="dxa"/>
            </w:tcMar>
            <w:vAlign w:val="center"/>
          </w:tcPr>
          <w:p>
            <w:pPr>
              <w:pStyle w:val="TableContents"/>
              <w:bidi w:val="0"/>
              <w:spacing w:before="0" w:after="283"/>
              <w:jc w:val="both"/>
              <w:rPr/>
            </w:pPr>
            <w:r>
              <w:rPr/>
              <w:t> </w:t>
            </w:r>
          </w:p>
        </w:tc>
        <w:tc>
          <w:tcPr>
            <w:tcW w:w="577" w:type="dxa"/>
            <w:tcBorders>
              <w:bottom w:val="single" w:sz="4" w:space="0" w:color="000000"/>
            </w:tcBorders>
            <w:tcMar>
              <w:top w:w="0" w:type="dxa"/>
              <w:left w:w="0" w:type="dxa"/>
              <w:right w:w="0" w:type="dxa"/>
            </w:tcMar>
            <w:vAlign w:val="center"/>
          </w:tcPr>
          <w:p>
            <w:pPr>
              <w:pStyle w:val="TableContents"/>
              <w:bidi w:val="0"/>
              <w:spacing w:before="0" w:after="283"/>
              <w:ind w:left="0" w:right="36" w:hanging="0"/>
              <w:jc w:val="center"/>
              <w:rPr>
                <w:rFonts w:ascii="Times New Roman" w:hAnsi="Times New Roman"/>
                <w:color w:val="000000"/>
                <w:sz w:val="20"/>
              </w:rPr>
            </w:pPr>
            <w:r>
              <w:rPr>
                <w:rFonts w:ascii="Times New Roman" w:hAnsi="Times New Roman"/>
                <w:color w:val="000000"/>
                <w:sz w:val="20"/>
              </w:rPr>
              <w:t>Page</w:t>
            </w:r>
          </w:p>
        </w:tc>
      </w:tr>
      <w:tr>
        <w:trPr/>
        <w:tc>
          <w:tcPr>
            <w:tcW w:w="9628" w:type="dxa"/>
            <w:tcBorders/>
            <w:tcMar>
              <w:top w:w="0" w:type="dxa"/>
              <w:left w:w="0" w:type="dxa"/>
              <w:bottom w:w="0" w:type="dxa"/>
              <w:right w:w="0" w:type="dxa"/>
            </w:tcMar>
            <w:vAlign w:val="center"/>
          </w:tcPr>
          <w:p>
            <w:pPr>
              <w:pStyle w:val="TableContents"/>
              <w:bidi w:val="0"/>
              <w:spacing w:before="0" w:after="283"/>
              <w:jc w:val="both"/>
              <w:rPr/>
            </w:pPr>
            <w:hyperlink w:anchor="item_8_financial_statements_supplementar">
              <w:r>
                <w:rPr>
                  <w:rStyle w:val="InternetLink"/>
                  <w:rFonts w:ascii="Times New Roman" w:hAnsi="Times New Roman"/>
                  <w:color w:val="0000FF"/>
                  <w:sz w:val="20"/>
                  <w:u w:val="single"/>
                </w:rPr>
                <w:t>(1) Report of Independent Registered Public Accounting Firm</w:t>
              </w:r>
            </w:hyperlink>
            <w:hyperlink w:anchor="item_8_financial_statements_supplementar">
              <w:r>
                <w:rPr>
                  <w:rStyle w:val="InternetLink"/>
                  <w:rFonts w:ascii="Times New Roman" w:hAnsi="Times New Roman"/>
                  <w:color w:val="0000FF"/>
                  <w:sz w:val="20"/>
                </w:rPr>
                <w:t xml:space="preserve"> </w:t>
              </w:r>
            </w:hyperlink>
            <w:r>
              <w:rPr>
                <w:rFonts w:ascii="Times New Roman" w:hAnsi="Times New Roman"/>
                <w:color w:val="000000"/>
                <w:sz w:val="20"/>
              </w:rPr>
              <w:t>(PCAOB ID No. 49)</w:t>
            </w:r>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628" w:type="dxa"/>
            <w:tcBorders/>
            <w:tcMar>
              <w:top w:w="0" w:type="dxa"/>
              <w:left w:w="0" w:type="dxa"/>
              <w:bottom w:w="0" w:type="dxa"/>
              <w:right w:w="0" w:type="dxa"/>
            </w:tcMar>
            <w:vAlign w:val="center"/>
          </w:tcPr>
          <w:p>
            <w:pPr>
              <w:pStyle w:val="TableContents"/>
              <w:bidi w:val="0"/>
              <w:spacing w:before="0" w:after="283"/>
              <w:jc w:val="both"/>
              <w:rPr/>
            </w:pPr>
            <w:hyperlink w:anchor="consolidated_balance_sheets">
              <w:r>
                <w:rPr>
                  <w:rStyle w:val="InternetLink"/>
                  <w:rFonts w:ascii="Times New Roman" w:hAnsi="Times New Roman"/>
                  <w:color w:val="0000FF"/>
                  <w:sz w:val="20"/>
                  <w:u w:val="single"/>
                </w:rPr>
                <w:t>Consolidated Balance Sheets as of December 31, 2024 and 2023</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628" w:type="dxa"/>
            <w:tcBorders/>
            <w:tcMar>
              <w:top w:w="0" w:type="dxa"/>
              <w:left w:w="0" w:type="dxa"/>
              <w:bottom w:w="0" w:type="dxa"/>
              <w:right w:w="0" w:type="dxa"/>
            </w:tcMar>
            <w:vAlign w:val="center"/>
          </w:tcPr>
          <w:p>
            <w:pPr>
              <w:pStyle w:val="TableContents"/>
              <w:bidi w:val="0"/>
              <w:spacing w:before="0" w:after="283"/>
              <w:jc w:val="both"/>
              <w:rPr/>
            </w:pPr>
            <w:hyperlink w:anchor="consolidated_statements_operations">
              <w:r>
                <w:rPr>
                  <w:rStyle w:val="InternetLink"/>
                  <w:rFonts w:ascii="Times New Roman" w:hAnsi="Times New Roman"/>
                  <w:color w:val="0000FF"/>
                  <w:sz w:val="20"/>
                  <w:u w:val="single"/>
                </w:rPr>
                <w:t>Consolidated Statements of Operations and Comprehensive Loss for each of the two years in the period ended December 31, 2024</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628" w:type="dxa"/>
            <w:tcBorders/>
            <w:tcMar>
              <w:top w:w="0" w:type="dxa"/>
              <w:left w:w="0" w:type="dxa"/>
              <w:bottom w:w="0" w:type="dxa"/>
              <w:right w:w="0" w:type="dxa"/>
            </w:tcMar>
            <w:vAlign w:val="center"/>
          </w:tcPr>
          <w:p>
            <w:pPr>
              <w:pStyle w:val="TableContents"/>
              <w:bidi w:val="0"/>
              <w:spacing w:before="0" w:after="283"/>
              <w:jc w:val="both"/>
              <w:rPr/>
            </w:pPr>
            <w:hyperlink w:anchor="consolidated_statements_cash_flows">
              <w:r>
                <w:rPr>
                  <w:rStyle w:val="InternetLink"/>
                  <w:rFonts w:ascii="Times New Roman" w:hAnsi="Times New Roman"/>
                  <w:color w:val="0000FF"/>
                  <w:sz w:val="20"/>
                  <w:u w:val="single"/>
                </w:rPr>
                <w:t>Consolidated Statements of Cash Flows for each of the two years in the period ended December 31, 2024</w:t>
              </w:r>
            </w:hyperlink>
            <w:r>
              <w:rPr>
                <w:rFonts w:ascii="Times New Roman" w:hAnsi="Times New Roman"/>
                <w:color w:val="000000"/>
                <w:sz w:val="20"/>
              </w:rPr>
              <w:t xml:space="preserve"> </w:t>
            </w:r>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628" w:type="dxa"/>
            <w:tcBorders/>
            <w:tcMar>
              <w:top w:w="0" w:type="dxa"/>
              <w:left w:w="0" w:type="dxa"/>
              <w:bottom w:w="0" w:type="dxa"/>
              <w:right w:w="0" w:type="dxa"/>
            </w:tcMar>
            <w:vAlign w:val="center"/>
          </w:tcPr>
          <w:p>
            <w:pPr>
              <w:pStyle w:val="TableContents"/>
              <w:bidi w:val="0"/>
              <w:spacing w:before="0" w:after="283"/>
              <w:jc w:val="both"/>
              <w:rPr/>
            </w:pPr>
            <w:hyperlink w:anchor="consolidated_statements_stockholders_equ">
              <w:r>
                <w:rPr>
                  <w:rStyle w:val="InternetLink"/>
                  <w:rFonts w:ascii="Times New Roman" w:hAnsi="Times New Roman"/>
                  <w:color w:val="0000FF"/>
                  <w:sz w:val="20"/>
                  <w:u w:val="single"/>
                </w:rPr>
                <w:t>Consolidated Statements of Stockholders’ Equity for each of the two years in the period ended December 31, 2024</w:t>
              </w:r>
            </w:hyperlink>
            <w:r>
              <w:rPr>
                <w:rFonts w:ascii="Times New Roman" w:hAnsi="Times New Roman"/>
                <w:color w:val="000000"/>
                <w:sz w:val="20"/>
              </w:rPr>
              <w:t xml:space="preserve"> </w:t>
            </w:r>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628" w:type="dxa"/>
            <w:tcBorders/>
            <w:tcMar>
              <w:top w:w="0" w:type="dxa"/>
              <w:left w:w="0" w:type="dxa"/>
              <w:bottom w:w="0" w:type="dxa"/>
              <w:right w:w="0" w:type="dxa"/>
            </w:tcMar>
            <w:vAlign w:val="center"/>
          </w:tcPr>
          <w:p>
            <w:pPr>
              <w:pStyle w:val="TableContents"/>
              <w:bidi w:val="0"/>
              <w:spacing w:before="0" w:after="283"/>
              <w:jc w:val="both"/>
              <w:rPr/>
            </w:pPr>
            <w:hyperlink w:anchor="n1_nature_business">
              <w:r>
                <w:rPr>
                  <w:rStyle w:val="InternetLink"/>
                  <w:rFonts w:ascii="Times New Roman" w:hAnsi="Times New Roman"/>
                  <w:color w:val="0000FF"/>
                  <w:sz w:val="20"/>
                  <w:u w:val="single"/>
                </w:rPr>
                <w:t>Notes to Consolidated Financial Statements</w:t>
              </w:r>
            </w:hyperlink>
            <w:r>
              <w:rPr>
                <w:rFonts w:ascii="Times New Roman" w:hAnsi="Times New Roman"/>
                <w:color w:val="000000"/>
                <w:sz w:val="20"/>
              </w:rPr>
              <w:t xml:space="preserve"> </w:t>
            </w:r>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exhibits listed below are filed with or incorporated by reference in this report.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57"/>
        <w:gridCol w:w="632"/>
        <w:gridCol w:w="8716"/>
      </w:tblGrid>
      <w:tr>
        <w:trPr/>
        <w:tc>
          <w:tcPr>
            <w:tcW w:w="8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8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u w:val="single"/>
              </w:rPr>
            </w:pPr>
            <w:r>
              <w:rPr>
                <w:rFonts w:ascii="Times New Roman" w:hAnsi="Times New Roman"/>
                <w:b/>
                <w:color w:val="000000"/>
                <w:sz w:val="20"/>
                <w:u w:val="single"/>
              </w:rPr>
              <w:t>Exhibit No.</w:t>
            </w:r>
          </w:p>
        </w:tc>
        <w:tc>
          <w:tcPr>
            <w:tcW w:w="632" w:type="dxa"/>
            <w:tcBorders/>
            <w:tcMar>
              <w:top w:w="0" w:type="dxa"/>
              <w:left w:w="0" w:type="dxa"/>
              <w:bottom w:w="0" w:type="dxa"/>
              <w:right w:w="0" w:type="dxa"/>
            </w:tcMar>
            <w:vAlign w:val="center"/>
          </w:tcPr>
          <w:p>
            <w:pPr>
              <w:pStyle w:val="TableContents"/>
              <w:bidi w:val="0"/>
              <w:spacing w:before="0" w:after="283"/>
              <w:ind w:left="0" w:right="486" w:hanging="0"/>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ind w:left="0" w:right="486" w:hanging="0"/>
              <w:jc w:val="both"/>
              <w:rPr>
                <w:rFonts w:ascii="Times New Roman" w:hAnsi="Times New Roman"/>
                <w:b/>
                <w:color w:val="000000"/>
                <w:sz w:val="20"/>
                <w:u w:val="single"/>
              </w:rPr>
            </w:pPr>
            <w:r>
              <w:rPr>
                <w:rFonts w:ascii="Times New Roman" w:hAnsi="Times New Roman"/>
                <w:b/>
                <w:color w:val="000000"/>
                <w:sz w:val="20"/>
                <w:u w:val="single"/>
              </w:rPr>
              <w:t>Description of Exhibit</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color w:val="000000"/>
              </w:rPr>
            </w:pPr>
            <w:r>
              <w:rPr>
                <w:color w:val="000000"/>
              </w:rPr>
              <w:t>  </w:t>
            </w:r>
            <w:r>
              <w:rPr>
                <w:rFonts w:ascii="Times New Roman" w:hAnsi="Times New Roman"/>
                <w:color w:val="000000"/>
                <w:sz w:val="20"/>
              </w:rPr>
              <w:t>3.1</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Amended and Restated Articles of Organization, as amended (filed as Exhibit 3.1 to the Company’s Form 10-K for the year ended December 31, 2008 and incorporated herein by reference).</w:t>
              </w:r>
            </w:hyperlink>
            <w:r>
              <w:rPr>
                <w:rFonts w:ascii="Times New Roman" w:hAnsi="Times New Roman"/>
                <w:color w:val="000000"/>
                <w:sz w:val="20"/>
              </w:rPr>
              <w:t xml:space="preserve">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color w:val="000000"/>
              </w:rPr>
            </w:pPr>
            <w:r>
              <w:rPr>
                <w:color w:val="000000"/>
              </w:rPr>
              <w:t>  </w:t>
            </w:r>
            <w:r>
              <w:rPr>
                <w:rFonts w:ascii="Times New Roman" w:hAnsi="Times New Roman"/>
                <w:color w:val="000000"/>
                <w:sz w:val="20"/>
              </w:rPr>
              <w:t>3.2</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Amended and Restated By-Laws (filed as Exhibit 3.1 to the Company’s Form 8-K filed with the Securities and Exchange Commission on December 10, 2007 and incorporated herein by reference).</w:t>
              </w:r>
            </w:hyperlink>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color w:val="000000"/>
              </w:rPr>
            </w:pPr>
            <w:r>
              <w:rPr>
                <w:color w:val="000000"/>
              </w:rPr>
              <w:t>  </w:t>
            </w:r>
            <w:r>
              <w:rPr>
                <w:rFonts w:ascii="Times New Roman" w:hAnsi="Times New Roman"/>
                <w:color w:val="000000"/>
                <w:sz w:val="20"/>
              </w:rPr>
              <w:t>4.1</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Description of the Registrant’s Securities Registered Pursuant to Section 12 of the Securities Exchange Act of 1934, as amended (filed as Exhibit 4.1 to the Company’s Form 10-K for the year ended December 31, 2019 and incorporated herein by reference)</w:t>
              </w:r>
            </w:hyperlink>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000FF"/>
              </w:rPr>
              <w:instrText xml:space="preserve"> HYPERLINK "https://www.sec.gov/Archives/edgar/data/1015739/000119312521111535/d142112ddef14a.htm" \l "toc142112_36"</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2021 Employee Stock Purchase Plan, (filed as Annex A to the Company’s Proxy Statement on Schedule 14A filed with the Securities and Exchange Commission on April 9, 2021 and incorporated herein by reference).</w:t>
            </w:r>
            <w:r>
              <w:rPr>
                <w:rStyle w:val="InternetLink"/>
                <w:sz w:val="20"/>
                <w:u w:val="single"/>
                <w:rFonts w:ascii="Times New Roman" w:hAnsi="Times New Roman"/>
                <w:color w:val="0000FF"/>
              </w:rPr>
              <w:fldChar w:fldCharType="end"/>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10.2*</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Form of Indemnification Agreement for Directors and Officers of Aware, Inc. (filed as Exhibit 10.1 to the Company's Form 8-K filed with the Securities and Exchange Commission on February 22, 2011 and incorporated herein by reference).</w:t>
              </w:r>
            </w:hyperlink>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10.3*</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2001 Nonqualified Stock Plan (filed as Exhibit 99(d)(4) to the Company’s Schedule TO filed with the Securities and Exchange Commission on March 3, 2003 and incorporated herein by reference).</w:t>
              </w:r>
            </w:hyperlink>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10.4*</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Form of Nonqualified Stock Option Agreement under the 2001 Nonqualified Stock Plan for options granted to executive officers and directors prior to May 21, 2008 (filed as Exhibit 10.6 to Company’s Form 10-K for the year ended December 31, 2006 and incorporated herein by reference).</w:t>
              </w:r>
            </w:hyperlink>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10.5*</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Form of Nonqualified Stock Option Agreement under the 2001 Nonqualified Stock Plan for options granted to executive officers and directors from and after May 21, 2008 (filed as Exhibit 10.8 to Company’s Form 8-K on May 22, 2008 and incorporated herein by reference)</w:t>
              </w:r>
            </w:hyperlink>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10.6*</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Form of Unrestricted Stock Award for outside directors of Aware under the 2001 Nonqualified Stock Plan (filed as Exhibit 10.1 to Company's Form 8-K filed with the Securities and Exchange Commission on July 28, 2010 and incorporated herein by reference).</w:t>
              </w:r>
            </w:hyperlink>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10.7*</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Form of Unrestricted Stock Award for officers of Aware under the 2001 Nonqualified Stock Plan (filed as Exhibit 10.2 to Company's Form 8-K filed with the Securities and Exchange Commission on July 28, 2010 and incorporated herein by reference).</w:t>
              </w:r>
            </w:hyperlink>
          </w:p>
        </w:tc>
      </w:tr>
      <w:tr>
        <w:trPr/>
        <w:tc>
          <w:tcPr>
            <w:tcW w:w="857"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632" w:type="dxa"/>
            <w:tcBorders/>
            <w:tcMar>
              <w:top w:w="0" w:type="dxa"/>
              <w:left w:w="0" w:type="dxa"/>
              <w:bottom w:w="0" w:type="dxa"/>
              <w:right w:w="0" w:type="dxa"/>
            </w:tcMar>
            <w:vAlign w:val="center"/>
          </w:tcPr>
          <w:p>
            <w:pPr>
              <w:pStyle w:val="TableContents"/>
              <w:bidi w:val="0"/>
              <w:spacing w:before="0" w:after="283"/>
              <w:jc w:val="both"/>
              <w:rPr/>
            </w:pPr>
            <w:r>
              <w:rPr/>
              <w:t> </w:t>
            </w:r>
          </w:p>
        </w:tc>
        <w:tc>
          <w:tcPr>
            <w:tcW w:w="871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
        <w:gridCol w:w="146"/>
        <w:gridCol w:w="9375"/>
      </w:tblGrid>
      <w:tr>
        <w:trPr/>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5" w:type="dxa"/>
            <w:tcBorders/>
            <w:vAlign w:val="center"/>
          </w:tcPr>
          <w:p>
            <w:pPr>
              <w:pStyle w:val="TableContents"/>
              <w:bidi w:val="0"/>
              <w:spacing w:before="0" w:after="283"/>
              <w:jc w:val="left"/>
              <w:rPr>
                <w:sz w:val="4"/>
                <w:szCs w:val="4"/>
              </w:rPr>
            </w:pPr>
            <w:r>
              <w:rPr>
                <w:sz w:val="4"/>
                <w:szCs w:val="4"/>
              </w:rPr>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Form of Unrestricted Stock Award for executive officers and directors of Aware, Inc. under the 2001 Nonqualified Plan (filed as Exhibit 10.1 to the Company’s Form 8-K filed with the Securities and Exchange Commission on April 4, 2013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Employment Agreement between Aware, Inc. and Mohamed Lazzouni (filed as Exhibit 10.1 to the Company’s Form 8-K filed with the Securities and Exchange Commission on November 19, 2019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Aware, Inc. 2024 Executive Bonus Plan (incorporated by reference to Item 5.02 of the Aware, Inc. Current Report on Form 8-K filed with the Securities and Exchange Commission on April 10, 2024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Lease dated as of March 1, 2022 by and between 76/80 Burlington Group, LLC and Aware, Inc. (filed as Exhibit 10.20 to Aware Inc. Annual Report on Form 10-K for the year ended December 31, 2021 filed with the Securities and Exchange Commission and incorporated herein by reference).</w:t>
              </w:r>
            </w:hyperlink>
            <w:hyperlink r:id="rId15">
              <w:r>
                <w:rPr>
                  <w:rStyle w:val="InternetLink"/>
                  <w:rFonts w:ascii="Times New Roman" w:hAnsi="Times New Roman"/>
                  <w:color w:val="0000FF"/>
                  <w:sz w:val="20"/>
                </w:rPr>
                <w:t xml:space="preserve"> </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Aware, Inc. 2023 Equity and Incentive Plan (filed as Exhibit 10.1 to the Company’s Current Report on Form 8-K filed with the Securities and Exchange Commission on January 18, 2024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Incentive Stock Option Agreement under the Aware, Inc. 2023 Equity and Incentive Plan (filed as Exhibit 10.2 to the Company’s Current Report on Form 8-K filed with the Securities and Exchange Commission on January 18, 2024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Nonstatutory Stock Option Agreement under the Aware, Inc. 2023 Equity and Incentive Plan (filed as Exhibit 10.3 to the Company’s Current Report on Form 8-K filed with the Securities and Exchange Commission on January 18, 2024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Restricted Stock Unit Aware Agreement under the Aware, Inc. 2023 Equity and Incentive Plan (filed as Exhibit 10.4 to the Company’s Current Report on Form 8-K filed with the Securities and Exchange Commission on January 18, 2024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hyperlink w:anchor="awre-ex10_16.htm">
              <w:r>
                <w:rPr>
                  <w:rStyle w:val="InternetLink"/>
                  <w:rFonts w:ascii="Times New Roman" w:hAnsi="Times New Roman"/>
                  <w:color w:val="0000FF"/>
                  <w:sz w:val="20"/>
                  <w:u w:val="single"/>
                </w:rPr>
                <w:t>Employment Agreement between Aware, Inc. and David Traverse dated June 1, 2024.</w:t>
              </w:r>
            </w:hyperlink>
            <w:hyperlink w:anchor="awre-ex10_16.htm">
              <w:r>
                <w:rPr>
                  <w:rStyle w:val="InternetLink"/>
                  <w:rFonts w:ascii="Times New Roman" w:hAnsi="Times New Roman"/>
                  <w:color w:val="0000FF"/>
                  <w:sz w:val="20"/>
                </w:rPr>
                <w:t xml:space="preserve"> </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Letter Agreement dated October 30, 2024 between Aware, Inc. and Robert A. Eckel (filed as Exhibit 10.1 to the Company's Current Report on Form 8-K filed with the Securities and Exchange Commission on October 30, 2024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Employment Agreement between Aware, Inc. and Ajay Amlani dated February 3, 2025 (filed as Exhibit 10.1 to the Company's Current Report on Form 8-K filed with the Securities and Exchange Commission on February 5, 2025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hyperlink w:anchor="awre-ex10_19.htm">
              <w:r>
                <w:rPr>
                  <w:rStyle w:val="InternetLink"/>
                  <w:rFonts w:ascii="Times New Roman" w:hAnsi="Times New Roman"/>
                  <w:color w:val="0000FF"/>
                  <w:sz w:val="20"/>
                  <w:u w:val="single"/>
                </w:rPr>
                <w:t>Form of Performance-based Stock Option Agreement under the Aware, Inc. 2023 Equity and Incentive Plan.</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left"/>
              <w:rPr/>
            </w:pPr>
            <w:hyperlink w:anchor="awre-ex19_1.htm">
              <w:r>
                <w:rPr>
                  <w:rStyle w:val="InternetLink"/>
                  <w:rFonts w:ascii="Times New Roman" w:hAnsi="Times New Roman"/>
                  <w:color w:val="0000FF"/>
                  <w:sz w:val="20"/>
                  <w:u w:val="single"/>
                </w:rPr>
                <w:t>Aware, Inc. Amended and Restated Insider Trading Policy.</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w:anchor="awre-ex21_1.htm">
              <w:r>
                <w:rPr>
                  <w:rStyle w:val="InternetLink"/>
                  <w:rFonts w:ascii="Times New Roman" w:hAnsi="Times New Roman"/>
                  <w:color w:val="0000FF"/>
                  <w:sz w:val="20"/>
                  <w:u w:val="single"/>
                </w:rPr>
                <w:t>Subsidiaries of Registrant.</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w:anchor="awre-ex23_1.htm">
              <w:r>
                <w:rPr>
                  <w:rStyle w:val="InternetLink"/>
                  <w:rFonts w:ascii="Times New Roman" w:hAnsi="Times New Roman"/>
                  <w:color w:val="0000FF"/>
                  <w:sz w:val="20"/>
                  <w:u w:val="single"/>
                </w:rPr>
                <w:t>Consent of Independent Registered Public Accounting Firm.</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w:anchor="awre-ex31_1.htm">
              <w:r>
                <w:rPr>
                  <w:rStyle w:val="InternetLink"/>
                  <w:rFonts w:ascii="Times New Roman" w:hAnsi="Times New Roman"/>
                  <w:color w:val="0000FF"/>
                  <w:sz w:val="20"/>
                  <w:u w:val="single"/>
                </w:rPr>
                <w:t>Certification of Chief Executive Officer pursuant to Section 302 of the Sarbanes-Oxley Act of 2002.</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w:anchor="awre-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w:anchor="awre-ex32_1.htm">
              <w:r>
                <w:rPr>
                  <w:rStyle w:val="InternetLink"/>
                  <w:rFonts w:ascii="Times New Roman" w:hAnsi="Times New Roman"/>
                  <w:color w:val="0000FF"/>
                  <w:sz w:val="20"/>
                  <w:u w:val="single"/>
                </w:rPr>
                <w:t>Certification of Chief Executive Officer and Principal Financial Officer pursuant to Section 906 of the Sarbanes-Oxley Act of 2002.</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Times New Roman" w:hAnsi="Times New Roman"/>
                  <w:color w:val="0000FF"/>
                  <w:sz w:val="20"/>
                  <w:u w:val="single"/>
                </w:rPr>
                <w:t>Aware Inc. Compensation Recovery Policy (filed as Exhibit 97.1 to the Company’s Annual Report on Form 10-K for the year ended December 31, 2023 and incorporated herein by reference).</w:t>
              </w:r>
            </w:hyperlink>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4"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following financial statements from Aware, Inc.’s Annual Report on Form 10-K for the year ended December 31, 2024, formatted in inline XBRL (eXtensible Business Reporting Language), as follows: (i) Consolidated Balance Sheets as of December 31, 2024 and December 31, 2023; (ii) Consolidated Statements of Operations and Comprehensive Loss for the Years Ended December 31, 2024 and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8"/>
        <w:gridCol w:w="146"/>
        <w:gridCol w:w="9551"/>
      </w:tblGrid>
      <w:tr>
        <w:trPr/>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1" w:type="dxa"/>
            <w:tcBorders/>
            <w:vAlign w:val="center"/>
          </w:tcPr>
          <w:p>
            <w:pPr>
              <w:pStyle w:val="TableContents"/>
              <w:bidi w:val="0"/>
              <w:spacing w:before="0" w:after="283"/>
              <w:jc w:val="left"/>
              <w:rPr>
                <w:sz w:val="4"/>
                <w:szCs w:val="4"/>
              </w:rPr>
            </w:pPr>
            <w:r>
              <w:rPr>
                <w:sz w:val="4"/>
                <w:szCs w:val="4"/>
              </w:rPr>
            </w:r>
          </w:p>
        </w:tc>
      </w:tr>
      <w:tr>
        <w:trPr/>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December 31, 2023; (iii) Consolidated Statements of Cash Flows for the Years Ended December 31, 2024 and December 31, 2023; (iv) Consolidated Statements of Stockholders’ Equity for the Years Ended December 31, 2024 and December 31, 2023 and (v) Notes to Consolidated Financial Statements. </w:t>
            </w:r>
          </w:p>
        </w:tc>
      </w:tr>
      <w:tr>
        <w:trPr/>
        <w:tc>
          <w:tcPr>
            <w:tcW w:w="508" w:type="dxa"/>
            <w:tcBorders/>
            <w:tcMar>
              <w:top w:w="0" w:type="dxa"/>
              <w:left w:w="0" w:type="dxa"/>
              <w:bottom w:w="0" w:type="dxa"/>
              <w:right w:w="0" w:type="dxa"/>
            </w:tcMar>
            <w:vAlign w:val="center"/>
          </w:tcPr>
          <w:p>
            <w:pPr>
              <w:pStyle w:val="TableContents"/>
              <w:bidi w:val="0"/>
              <w:spacing w:before="0" w:after="283"/>
              <w:ind w:left="0" w:right="72" w:hanging="0"/>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before="120" w:after="283"/>
        <w:jc w:val="both"/>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Management contract or compensatory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signatures"/>
      <w:bookmarkEnd w:id="27"/>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3628" w:type="dxa"/>
        <w:jc w:val="left"/>
        <w:tblInd w:w="0" w:type="dxa"/>
        <w:tblLayout w:type="fixed"/>
        <w:tblCellMar>
          <w:top w:w="28" w:type="dxa"/>
          <w:left w:w="28" w:type="dxa"/>
          <w:bottom w:w="28" w:type="dxa"/>
          <w:right w:w="28" w:type="dxa"/>
        </w:tblCellMar>
      </w:tblPr>
      <w:tblGrid>
        <w:gridCol w:w="421"/>
        <w:gridCol w:w="146"/>
        <w:gridCol w:w="306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362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AWARE,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Ajay K. Amlani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K. Amlani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tbl>
      <w:tblPr>
        <w:tblW w:w="2578" w:type="dxa"/>
        <w:jc w:val="left"/>
        <w:tblInd w:w="0" w:type="dxa"/>
        <w:tblLayout w:type="fixed"/>
        <w:tblCellMar>
          <w:top w:w="28" w:type="dxa"/>
          <w:left w:w="28" w:type="dxa"/>
          <w:bottom w:w="28" w:type="dxa"/>
          <w:right w:w="28" w:type="dxa"/>
        </w:tblCellMar>
      </w:tblPr>
      <w:tblGrid>
        <w:gridCol w:w="421"/>
        <w:gridCol w:w="146"/>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K. Traverse</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Date: March 13, 2025</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indicated on the 14th day of March 2025.</w:t>
      </w:r>
    </w:p>
    <w:p>
      <w:pPr>
        <w:pStyle w:val="TextBody"/>
        <w:bidi w:val="0"/>
        <w:jc w:val="left"/>
        <w:rPr/>
      </w:pPr>
      <w:r>
        <w:rPr/>
        <w:t> </w:t>
      </w:r>
    </w:p>
    <w:tbl>
      <w:tblPr>
        <w:tblW w:w="6850" w:type="dxa"/>
        <w:jc w:val="left"/>
        <w:tblInd w:w="0" w:type="dxa"/>
        <w:tblLayout w:type="fixed"/>
        <w:tblCellMar>
          <w:top w:w="28" w:type="dxa"/>
          <w:left w:w="28" w:type="dxa"/>
          <w:bottom w:w="28" w:type="dxa"/>
          <w:right w:w="28" w:type="dxa"/>
        </w:tblCellMar>
      </w:tblPr>
      <w:tblGrid>
        <w:gridCol w:w="2407"/>
        <w:gridCol w:w="632"/>
        <w:gridCol w:w="3811"/>
      </w:tblGrid>
      <w:tr>
        <w:trPr/>
        <w:tc>
          <w:tcPr>
            <w:tcW w:w="240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24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Signature</w:t>
            </w:r>
          </w:p>
        </w:tc>
        <w:tc>
          <w:tcPr>
            <w:tcW w:w="632" w:type="dxa"/>
            <w:tcBorders/>
            <w:tcMar>
              <w:top w:w="0" w:type="dxa"/>
              <w:left w:w="0" w:type="dxa"/>
              <w:bottom w:w="0" w:type="dxa"/>
              <w:right w:w="0" w:type="dxa"/>
            </w:tcMar>
            <w:vAlign w:val="center"/>
          </w:tcPr>
          <w:p>
            <w:pPr>
              <w:pStyle w:val="TableContents"/>
              <w:bidi w:val="0"/>
              <w:spacing w:before="0" w:after="283"/>
              <w:ind w:left="0" w:right="486" w:hanging="0"/>
              <w:jc w:val="center"/>
              <w:rPr/>
            </w:pPr>
            <w:r>
              <w:rPr/>
              <w:t> </w:t>
            </w:r>
          </w:p>
        </w:tc>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Title</w:t>
            </w:r>
          </w:p>
        </w:tc>
      </w:tr>
      <w:tr>
        <w:trPr/>
        <w:tc>
          <w:tcPr>
            <w:tcW w:w="2407" w:type="dxa"/>
            <w:tcBorders/>
            <w:tcMar>
              <w:top w:w="0" w:type="dxa"/>
              <w:left w:w="0" w:type="dxa"/>
              <w:bottom w:w="0" w:type="dxa"/>
              <w:right w:w="0" w:type="dxa"/>
            </w:tcMar>
            <w:vAlign w:val="center"/>
          </w:tcPr>
          <w:p>
            <w:pPr>
              <w:pStyle w:val="TableContents"/>
              <w:bidi w:val="0"/>
              <w:spacing w:before="0" w:after="283"/>
              <w:ind w:left="0" w:right="486" w:hanging="0"/>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ind w:left="0" w:right="486" w:hanging="0"/>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7" w:type="dxa"/>
            <w:tcBorders>
              <w:bottom w:val="single" w:sz="4" w:space="0" w:color="000000"/>
            </w:tcBorders>
            <w:tcMar>
              <w:top w:w="0" w:type="dxa"/>
              <w:left w:w="0" w:type="dxa"/>
              <w:right w:w="0" w:type="dxa"/>
            </w:tcMar>
            <w:vAlign w:val="center"/>
          </w:tcPr>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/s/ Ajay K. Amlani</w:t>
            </w:r>
          </w:p>
        </w:tc>
        <w:tc>
          <w:tcPr>
            <w:tcW w:w="6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President &amp; Director</w:t>
            </w:r>
          </w:p>
        </w:tc>
      </w:tr>
      <w:tr>
        <w:trPr/>
        <w:tc>
          <w:tcPr>
            <w:tcW w:w="24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K. Amlani</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407" w:type="dxa"/>
            <w:tcBorders/>
            <w:tcMar>
              <w:top w:w="0" w:type="dxa"/>
              <w:left w:w="0" w:type="dxa"/>
              <w:bottom w:w="0" w:type="dxa"/>
              <w:right w:w="0" w:type="dxa"/>
            </w:tcMar>
            <w:vAlign w:val="center"/>
          </w:tcPr>
          <w:p>
            <w:pPr>
              <w:pStyle w:val="TableContents"/>
              <w:bidi w:val="0"/>
              <w:spacing w:before="0" w:after="283"/>
              <w:ind w:left="0" w:right="486" w:hanging="0"/>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7" w:type="dxa"/>
            <w:tcBorders>
              <w:bottom w:val="single" w:sz="4" w:space="0" w:color="000000"/>
            </w:tcBorders>
            <w:tcMar>
              <w:top w:w="0" w:type="dxa"/>
              <w:left w:w="0" w:type="dxa"/>
              <w:right w:w="0" w:type="dxa"/>
            </w:tcMar>
            <w:vAlign w:val="center"/>
          </w:tcPr>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/s/ David K. Traverse</w:t>
            </w:r>
          </w:p>
        </w:tc>
        <w:tc>
          <w:tcPr>
            <w:tcW w:w="6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07" w:type="dxa"/>
            <w:tcBorders/>
            <w:tcMar>
              <w:top w:w="0" w:type="dxa"/>
              <w:left w:w="0" w:type="dxa"/>
              <w:bottom w:w="0" w:type="dxa"/>
              <w:right w:w="0" w:type="dxa"/>
            </w:tcMar>
            <w:vAlign w:val="center"/>
          </w:tcPr>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David K. Traverse</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2407" w:type="dxa"/>
            <w:tcBorders/>
            <w:tcMar>
              <w:top w:w="0" w:type="dxa"/>
              <w:left w:w="0" w:type="dxa"/>
              <w:bottom w:w="0" w:type="dxa"/>
              <w:right w:w="0" w:type="dxa"/>
            </w:tcMar>
            <w:vAlign w:val="center"/>
          </w:tcPr>
          <w:p>
            <w:pPr>
              <w:pStyle w:val="TableContents"/>
              <w:bidi w:val="0"/>
              <w:spacing w:before="0" w:after="283"/>
              <w:ind w:left="0" w:right="486" w:hanging="0"/>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7" w:type="dxa"/>
            <w:tcBorders>
              <w:bottom w:val="single" w:sz="4" w:space="0" w:color="000000"/>
            </w:tcBorders>
            <w:tcMar>
              <w:top w:w="0" w:type="dxa"/>
              <w:left w:w="0" w:type="dxa"/>
              <w:right w:w="0" w:type="dxa"/>
            </w:tcMar>
            <w:vAlign w:val="center"/>
          </w:tcPr>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 xml:space="preserve">/s/ Brent P. Johnstone </w:t>
            </w:r>
          </w:p>
        </w:tc>
        <w:tc>
          <w:tcPr>
            <w:tcW w:w="6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&amp; Director</w:t>
            </w:r>
          </w:p>
        </w:tc>
      </w:tr>
      <w:tr>
        <w:trPr/>
        <w:tc>
          <w:tcPr>
            <w:tcW w:w="2407" w:type="dxa"/>
            <w:tcBorders/>
            <w:tcMar>
              <w:top w:w="0" w:type="dxa"/>
              <w:left w:w="0" w:type="dxa"/>
              <w:bottom w:w="0" w:type="dxa"/>
              <w:right w:w="0" w:type="dxa"/>
            </w:tcMar>
            <w:vAlign w:val="center"/>
          </w:tcPr>
          <w:p>
            <w:pPr>
              <w:pStyle w:val="TableContents"/>
              <w:bidi w:val="0"/>
              <w:spacing w:before="0" w:after="283"/>
              <w:ind w:left="0" w:right="486" w:hanging="0"/>
              <w:jc w:val="left"/>
              <w:rPr>
                <w:color w:val="000000"/>
              </w:rPr>
            </w:pPr>
            <w:r>
              <w:rPr>
                <w:color w:val="000000"/>
              </w:rPr>
              <w:t> </w:t>
            </w:r>
            <w:r>
              <w:rPr>
                <w:rFonts w:ascii="Times New Roman" w:hAnsi="Times New Roman"/>
                <w:color w:val="000000"/>
                <w:sz w:val="20"/>
              </w:rPr>
              <w:t>Brent P. Johnstone</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7" w:type="dxa"/>
            <w:tcBorders/>
            <w:tcMar>
              <w:top w:w="0" w:type="dxa"/>
              <w:left w:w="0" w:type="dxa"/>
              <w:bottom w:w="0" w:type="dxa"/>
              <w:right w:w="0" w:type="dxa"/>
            </w:tcMar>
            <w:vAlign w:val="center"/>
          </w:tcPr>
          <w:p>
            <w:pPr>
              <w:pStyle w:val="TableContents"/>
              <w:bidi w:val="0"/>
              <w:spacing w:before="0" w:after="283"/>
              <w:ind w:left="0" w:right="486" w:hanging="0"/>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7" w:type="dxa"/>
            <w:tcBorders>
              <w:bottom w:val="single" w:sz="4" w:space="0" w:color="000000"/>
            </w:tcBorders>
            <w:tcMar>
              <w:top w:w="0" w:type="dxa"/>
              <w:left w:w="0" w:type="dxa"/>
              <w:right w:w="0" w:type="dxa"/>
            </w:tcMar>
            <w:vAlign w:val="center"/>
          </w:tcPr>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/s/ John S. Stafford, III</w:t>
            </w:r>
          </w:p>
        </w:tc>
        <w:tc>
          <w:tcPr>
            <w:tcW w:w="6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07" w:type="dxa"/>
            <w:tcBorders/>
            <w:tcMar>
              <w:top w:w="0" w:type="dxa"/>
              <w:left w:w="0" w:type="dxa"/>
              <w:bottom w:w="0" w:type="dxa"/>
              <w:right w:w="0" w:type="dxa"/>
            </w:tcMar>
            <w:vAlign w:val="center"/>
          </w:tcPr>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John S. Stafford, III</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7" w:type="dxa"/>
            <w:tcBorders/>
            <w:tcMar>
              <w:top w:w="0" w:type="dxa"/>
              <w:left w:w="0" w:type="dxa"/>
              <w:bottom w:w="0" w:type="dxa"/>
              <w:right w:w="0" w:type="dxa"/>
            </w:tcMar>
            <w:vAlign w:val="center"/>
          </w:tcPr>
          <w:p>
            <w:pPr>
              <w:pStyle w:val="TableContents"/>
              <w:bidi w:val="0"/>
              <w:spacing w:before="0" w:after="283"/>
              <w:ind w:left="0" w:right="486" w:hanging="0"/>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7" w:type="dxa"/>
            <w:tcBorders>
              <w:bottom w:val="single" w:sz="4" w:space="0" w:color="000000"/>
            </w:tcBorders>
            <w:tcMar>
              <w:top w:w="0" w:type="dxa"/>
              <w:left w:w="0" w:type="dxa"/>
              <w:right w:w="0" w:type="dxa"/>
            </w:tcMar>
            <w:vAlign w:val="center"/>
          </w:tcPr>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 xml:space="preserve">/s/ Brian D. Connolly </w:t>
            </w:r>
          </w:p>
        </w:tc>
        <w:tc>
          <w:tcPr>
            <w:tcW w:w="6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07" w:type="dxa"/>
            <w:tcBorders/>
            <w:tcMar>
              <w:top w:w="0" w:type="dxa"/>
              <w:left w:w="0" w:type="dxa"/>
              <w:bottom w:w="0" w:type="dxa"/>
              <w:right w:w="0" w:type="dxa"/>
            </w:tcMar>
            <w:vAlign w:val="center"/>
          </w:tcPr>
          <w:p>
            <w:pPr>
              <w:pStyle w:val="TableContents"/>
              <w:bidi w:val="0"/>
              <w:ind w:left="0" w:right="486" w:hanging="0"/>
              <w:jc w:val="left"/>
              <w:rPr>
                <w:rFonts w:ascii="Times New Roman" w:hAnsi="Times New Roman"/>
                <w:color w:val="000000"/>
                <w:sz w:val="20"/>
              </w:rPr>
            </w:pPr>
            <w:r>
              <w:rPr>
                <w:rFonts w:ascii="Times New Roman" w:hAnsi="Times New Roman"/>
                <w:color w:val="000000"/>
                <w:sz w:val="20"/>
              </w:rPr>
              <w:t>Brian D. Connolly</w:t>
            </w:r>
          </w:p>
          <w:p>
            <w:pPr>
              <w:pStyle w:val="TableContents"/>
              <w:bidi w:val="0"/>
              <w:spacing w:before="0" w:after="283"/>
              <w:ind w:left="0" w:right="486" w:hanging="0"/>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7" w:type="dxa"/>
            <w:tcBorders>
              <w:bottom w:val="single" w:sz="4" w:space="0" w:color="000000"/>
            </w:tcBorders>
            <w:tcMar>
              <w:top w:w="0" w:type="dxa"/>
              <w:left w:w="0" w:type="dxa"/>
              <w:right w:w="0" w:type="dxa"/>
            </w:tcMar>
            <w:vAlign w:val="center"/>
          </w:tcPr>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/s/ Gary Evee</w:t>
            </w:r>
          </w:p>
        </w:tc>
        <w:tc>
          <w:tcPr>
            <w:tcW w:w="6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07" w:type="dxa"/>
            <w:tcBorders>
              <w:bottom w:val="single" w:sz="4" w:space="0" w:color="000000"/>
            </w:tcBorders>
            <w:tcMar>
              <w:top w:w="0" w:type="dxa"/>
              <w:left w:w="0" w:type="dxa"/>
              <w:right w:w="0" w:type="dxa"/>
            </w:tcMar>
            <w:vAlign w:val="center"/>
          </w:tcPr>
          <w:p>
            <w:pPr>
              <w:pStyle w:val="TableContents"/>
              <w:bidi w:val="0"/>
              <w:ind w:left="0" w:right="486" w:hanging="0"/>
              <w:jc w:val="left"/>
              <w:rPr>
                <w:rFonts w:ascii="Times New Roman" w:hAnsi="Times New Roman"/>
                <w:color w:val="000000"/>
                <w:sz w:val="20"/>
              </w:rPr>
            </w:pPr>
            <w:r>
              <w:rPr>
                <w:rFonts w:ascii="Times New Roman" w:hAnsi="Times New Roman"/>
                <w:color w:val="000000"/>
                <w:sz w:val="20"/>
              </w:rPr>
              <w:t>Gary Evee</w:t>
            </w:r>
          </w:p>
          <w:p>
            <w:pPr>
              <w:pStyle w:val="TableContents"/>
              <w:bidi w:val="0"/>
              <w:ind w:left="0" w:right="486" w:hanging="0"/>
              <w:jc w:val="left"/>
              <w:rPr/>
            </w:pPr>
            <w:r>
              <w:rPr/>
              <w:t> </w:t>
            </w:r>
          </w:p>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/s/ Peter Faubert</w:t>
            </w:r>
          </w:p>
        </w:tc>
        <w:tc>
          <w:tcPr>
            <w:tcW w:w="632"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407" w:type="dxa"/>
            <w:tcBorders/>
            <w:tcMar>
              <w:top w:w="0" w:type="dxa"/>
              <w:left w:w="0" w:type="dxa"/>
              <w:bottom w:w="0" w:type="dxa"/>
              <w:right w:w="0" w:type="dxa"/>
            </w:tcMar>
            <w:vAlign w:val="center"/>
          </w:tcPr>
          <w:p>
            <w:pPr>
              <w:pStyle w:val="TableContents"/>
              <w:bidi w:val="0"/>
              <w:spacing w:before="0" w:after="283"/>
              <w:ind w:left="0" w:right="486" w:hanging="0"/>
              <w:jc w:val="left"/>
              <w:rPr>
                <w:rFonts w:ascii="Times New Roman" w:hAnsi="Times New Roman"/>
                <w:color w:val="000000"/>
                <w:sz w:val="20"/>
              </w:rPr>
            </w:pPr>
            <w:r>
              <w:rPr>
                <w:rFonts w:ascii="Times New Roman" w:hAnsi="Times New Roman"/>
                <w:color w:val="000000"/>
                <w:sz w:val="20"/>
              </w:rPr>
              <w:t>Peter Faubert</w:t>
            </w:r>
          </w:p>
        </w:tc>
        <w:tc>
          <w:tcPr>
            <w:tcW w:w="632"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4"/>
        </w:rPr>
      </w:pPr>
      <w:bookmarkStart w:id="28" w:name="awre-ex10_16.htm"/>
      <w:bookmarkStart w:id="29" w:name="ksawreex10_16"/>
      <w:bookmarkEnd w:id="28"/>
      <w:bookmarkEnd w:id="29"/>
      <w:r>
        <w:rPr>
          <w:rFonts w:ascii="Times New Roman" w:hAnsi="Times New Roman"/>
          <w:b/>
          <w:color w:val="000000"/>
          <w:sz w:val="24"/>
        </w:rPr>
        <w:t>EMPLOYMENT AGREEMENT</w:t>
      </w:r>
      <w:r>
        <w:br w:type="page"/>
      </w:r>
    </w:p>
    <w:p>
      <w:pPr>
        <w:pStyle w:val="TextBody"/>
        <w:bidi w:val="0"/>
        <w:spacing w:before="240" w:after="283"/>
        <w:jc w:val="left"/>
        <w:rPr>
          <w:rFonts w:ascii="Times New Roman" w:hAnsi="Times New Roman"/>
          <w:sz w:val="20"/>
        </w:rPr>
      </w:pPr>
      <w:r>
        <w:rPr>
          <w:rFonts w:ascii="Times New Roman" w:hAnsi="Times New Roman"/>
          <w:color w:val="000000"/>
          <w:sz w:val="24"/>
        </w:rPr>
        <w:t>This Employment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entered into as of June 1, 2024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Aware, Inc., a Massachusetts corporation with its principal offices located at 76 Blanchard Road, Burlington, Massachusetts 01803 (together with its successors and assigns, the "</w:t>
      </w:r>
      <w:r>
        <w:rPr>
          <w:rFonts w:ascii="Times New Roman" w:hAnsi="Times New Roman"/>
          <w:color w:val="000000"/>
          <w:sz w:val="24"/>
          <w:u w:val="single"/>
        </w:rPr>
        <w:t>Company</w:t>
      </w:r>
      <w:r>
        <w:rPr>
          <w:rFonts w:ascii="Times New Roman" w:hAnsi="Times New Roman"/>
          <w:color w:val="000000"/>
          <w:sz w:val="24"/>
        </w:rPr>
        <w:t>"), and David Traverse (the "</w:t>
      </w:r>
      <w:r>
        <w:rPr>
          <w:rFonts w:ascii="Times New Roman" w:hAnsi="Times New Roman"/>
          <w:color w:val="000000"/>
          <w:sz w:val="24"/>
          <w:u w:val="single"/>
        </w:rPr>
        <w:t>Executive</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WHEREAS, the Company desires to employ the Executive on the terms and conditions of this Agreement; and</w:t>
      </w:r>
    </w:p>
    <w:p>
      <w:pPr>
        <w:pStyle w:val="TextBody"/>
        <w:bidi w:val="0"/>
        <w:spacing w:before="240" w:after="283"/>
        <w:jc w:val="left"/>
        <w:rPr>
          <w:rFonts w:ascii="Times New Roman" w:hAnsi="Times New Roman"/>
          <w:sz w:val="20"/>
        </w:rPr>
      </w:pPr>
      <w:r>
        <w:rPr>
          <w:rFonts w:ascii="Times New Roman" w:hAnsi="Times New Roman"/>
          <w:color w:val="000000"/>
          <w:sz w:val="24"/>
        </w:rPr>
        <w:t>WHEREAS, the Executive desires to be an employee of the Company on the terms and conditions of this Agreement;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NOW, THEREFORE, in consideration of the mutual covenants and agreements set forth herein, the parties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Employment.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Term</w:t>
      </w:r>
      <w:r>
        <w:rPr>
          <w:rFonts w:ascii="Times New Roman" w:hAnsi="Times New Roman"/>
          <w:color w:val="000000"/>
          <w:sz w:val="24"/>
        </w:rPr>
        <w:t>. The term of this Agreement shall commence on the Effective Date and shall continue until terminated in accordance with the provisions hereof (the “</w:t>
      </w:r>
      <w:r>
        <w:rPr>
          <w:rFonts w:ascii="Times New Roman" w:hAnsi="Times New Roman"/>
          <w:color w:val="000000"/>
          <w:sz w:val="24"/>
          <w:u w:val="single"/>
        </w:rPr>
        <w:t>Term</w:t>
      </w:r>
      <w:r>
        <w:rPr>
          <w:color w:val="000000"/>
        </w:rPr>
        <w:t>”</w:t>
      </w:r>
      <w:r>
        <w:rPr>
          <w:rFonts w:ascii="Times New Roman" w:hAnsi="Times New Roman"/>
          <w:color w:val="000000"/>
          <w:sz w:val="24"/>
        </w:rPr>
        <w:t>). The Executive’s employment with the Company will be “at will,” meaning that the Executive’s employment may be terminated by the Company or the Executive at any time and for any reason subject to the terms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Position and Duties</w:t>
      </w:r>
      <w:r>
        <w:rPr>
          <w:rFonts w:ascii="Times New Roman" w:hAnsi="Times New Roman"/>
          <w:color w:val="000000"/>
          <w:sz w:val="24"/>
        </w:rPr>
        <w:t>. During the Term, the Executive shall serve as the Chief Financial Officer of the Company, reporting to the Chief Executive Officer of the Company. The Executive shall devote his full working time and efforts to the business and affairs of the Company. Notwithstanding the foregoing, the Executive may serve on boards of directors, with the approval of the Board of Directors of the Company (the “</w:t>
      </w:r>
      <w:r>
        <w:rPr>
          <w:rFonts w:ascii="Times New Roman" w:hAnsi="Times New Roman"/>
          <w:color w:val="000000"/>
          <w:sz w:val="24"/>
          <w:u w:val="single"/>
        </w:rPr>
        <w:t>Board</w:t>
      </w:r>
      <w:r>
        <w:rPr>
          <w:color w:val="000000"/>
        </w:rPr>
        <w:t>”</w:t>
      </w:r>
      <w:r>
        <w:rPr>
          <w:rFonts w:ascii="Times New Roman" w:hAnsi="Times New Roman"/>
          <w:color w:val="000000"/>
          <w:sz w:val="24"/>
        </w:rPr>
        <w:t xml:space="preserve">), or engage in religious, charitable or other community activities as long as such services and activities are disclosed to the Board and do not materially interfere with the Executive’s performance of his duties to the Company as provided in this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Compensation and Related Matters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Base Salary</w:t>
      </w:r>
      <w:r>
        <w:rPr>
          <w:rFonts w:ascii="Times New Roman" w:hAnsi="Times New Roman"/>
          <w:color w:val="000000"/>
          <w:sz w:val="24"/>
        </w:rPr>
        <w:t>. During the Term, the Executive’s annual base salary will be $230,000.00. The Executive’s base salary shall be reviewed annually by the Board or the Compensation Committee of the Board (the “</w:t>
      </w:r>
      <w:r>
        <w:rPr>
          <w:rFonts w:ascii="Times New Roman" w:hAnsi="Times New Roman"/>
          <w:color w:val="000000"/>
          <w:sz w:val="24"/>
          <w:u w:val="single"/>
        </w:rPr>
        <w:t>Compensation Committee</w:t>
      </w:r>
      <w:r>
        <w:rPr>
          <w:color w:val="000000"/>
        </w:rPr>
        <w:t>”</w:t>
      </w:r>
      <w:r>
        <w:rPr>
          <w:rFonts w:ascii="Times New Roman" w:hAnsi="Times New Roman"/>
          <w:color w:val="000000"/>
          <w:sz w:val="24"/>
        </w:rPr>
        <w:t>). The base salary in effect at any given time is referred to herein as “</w:t>
      </w:r>
      <w:r>
        <w:rPr>
          <w:rFonts w:ascii="Times New Roman" w:hAnsi="Times New Roman"/>
          <w:color w:val="000000"/>
          <w:sz w:val="24"/>
          <w:u w:val="single"/>
        </w:rPr>
        <w:t>Base Salary</w:t>
      </w:r>
      <w:r>
        <w:rPr>
          <w:rFonts w:ascii="Times New Roman" w:hAnsi="Times New Roman"/>
          <w:color w:val="000000"/>
          <w:sz w:val="24"/>
        </w:rPr>
        <w:t>.” The Base Salary shall be payable in a manner that is consistent with the Company’s usual payroll practices for executive officers.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Incentive Compensation</w:t>
      </w:r>
      <w:r>
        <w:rPr>
          <w:rFonts w:ascii="Times New Roman" w:hAnsi="Times New Roman"/>
          <w:color w:val="000000"/>
          <w:sz w:val="24"/>
        </w:rPr>
        <w:t xml:space="preserve">. During the Term, the Executive shall be eligible to receive annual cash incentive compensation as determined by the Board or the Compensation Committee from time to time. The Executive’s initial target annual incentive compensation shall be up to forty percent (40%) of his Base Salary and tied to Company performance targets as determined by the Compensation Committee. To earn incentive compensation, the Executive must be employed by the Company on the day such incentive compensation is paid, unless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otherwise determined by the Compensation Committee. For the 2024 calendar year, the incentive compensation target shall be prorated effective the date of this agreement.</w:t>
      </w:r>
      <w:r>
        <w:rPr>
          <w:color w:val="00000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Expenses</w:t>
      </w:r>
      <w:r>
        <w:rPr>
          <w:rFonts w:ascii="Times New Roman" w:hAnsi="Times New Roman"/>
          <w:color w:val="000000"/>
          <w:sz w:val="24"/>
        </w:rPr>
        <w:t>. The Executive shall be entitled to receive prompt reimbursement for all reasonable expenses incurred by him during the Term in performing services hereunder, in accordance with the policies and procedures then in effect and established by the Company for its executive officers.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Equity</w:t>
      </w:r>
      <w:r>
        <w:rPr>
          <w:rFonts w:ascii="Times New Roman" w:hAnsi="Times New Roman"/>
          <w:color w:val="000000"/>
          <w:sz w:val="24"/>
        </w:rPr>
        <w:t>. Promptly after the Effective Date and subject to approval by the Board or the Compensation Committee, the Company shall issue to the Executive a restricted stock unit award covering 24,000 shares of the Company’s common stock with such vesting and other terms as set forth in an award agreement between the Company and the Executive.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Additional Equity</w:t>
      </w:r>
      <w:r>
        <w:rPr>
          <w:rFonts w:ascii="Times New Roman" w:hAnsi="Times New Roman"/>
          <w:color w:val="000000"/>
          <w:sz w:val="24"/>
        </w:rPr>
        <w:t xml:space="preserve">. In addition to the equity granted pursuant to Section 2.4, the Executive shall be eligible to receive such additional equity awards of the Company from time to time as determined by the Compensation Committee or the Board.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left"/>
        <w:rPr/>
      </w:pPr>
      <w:r>
        <w:rPr>
          <w:rFonts w:ascii="Times New Roman" w:hAnsi="Times New Roman"/>
          <w:color w:val="000000"/>
          <w:sz w:val="24"/>
          <w:u w:val="single"/>
        </w:rPr>
        <w:t>Other Benefits</w:t>
      </w:r>
      <w:r>
        <w:rPr>
          <w:rFonts w:ascii="Times New Roman" w:hAnsi="Times New Roman"/>
          <w:color w:val="000000"/>
          <w:sz w:val="24"/>
        </w:rPr>
        <w:t xml:space="preserve">. During the Term, the Executive shall be eligible to participate in or receive benefits under the Company’s employee benefit plans in effect from time to time, subject to the terms of such plans. Additionally, during the Term, the Executive shall be eligible to receive such benefits and perquisites as those made available to the other employees of the Company generally and to similarly situated senior executives of the Company.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left"/>
        <w:rPr/>
      </w:pPr>
      <w:r>
        <w:rPr>
          <w:rFonts w:ascii="Times New Roman" w:hAnsi="Times New Roman"/>
          <w:color w:val="000000"/>
          <w:sz w:val="24"/>
          <w:u w:val="single"/>
        </w:rPr>
        <w:t>Time Off</w:t>
      </w:r>
      <w:r>
        <w:rPr>
          <w:rFonts w:ascii="Times New Roman" w:hAnsi="Times New Roman"/>
          <w:color w:val="000000"/>
          <w:sz w:val="24"/>
        </w:rPr>
        <w:t>. During the Term, the Executive shall be entitled to paid vacation and sick time in accordance with the Company’s policies and procedures. The Executive shall also be entitled to all paid holidays given by the Company to its executive officers.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During the Term, the Executive’s employment hereunder may be terminated without any breach of this Agreement under the following circumstances: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left"/>
        <w:rPr/>
      </w:pPr>
      <w:r>
        <w:rPr>
          <w:rFonts w:ascii="Times New Roman" w:hAnsi="Times New Roman"/>
          <w:color w:val="000000"/>
          <w:sz w:val="24"/>
          <w:u w:val="single"/>
        </w:rPr>
        <w:t>Death</w:t>
      </w:r>
      <w:r>
        <w:rPr>
          <w:rFonts w:ascii="Times New Roman" w:hAnsi="Times New Roman"/>
          <w:color w:val="000000"/>
          <w:sz w:val="24"/>
        </w:rPr>
        <w:t>. The Executive’s employment hereunder shall terminate upon his death.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left"/>
        <w:rPr/>
      </w:pPr>
      <w:r>
        <w:rPr>
          <w:rFonts w:ascii="Times New Roman" w:hAnsi="Times New Roman"/>
          <w:color w:val="000000"/>
          <w:sz w:val="24"/>
          <w:u w:val="single"/>
        </w:rPr>
        <w:t>Disability</w:t>
      </w:r>
      <w:r>
        <w:rPr>
          <w:rFonts w:ascii="Times New Roman" w:hAnsi="Times New Roman"/>
          <w:color w:val="000000"/>
          <w:sz w:val="24"/>
        </w:rPr>
        <w:t xml:space="preserve">. The Company may terminate the Executive’s employment if he is disabled and unable to perform the essential functions of the Executive’s then existing position or positions under this Agreement with any reasonable accommodation required by law for a period of 180 days (which need not be consecutive) in any 12-month period. If any question shall arise as to whether during any period the Executive is disabled so as to be unable to perform the essential functions of the Executive’s then existing position or positions with any reasonable accommodation required by law,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certification, the Company’s determination of such issue shall be binding on the Executive. Nothing in this Section 3.2 shall be construed to waive the Executive’s rights, if any, under existing law including, without limitation, the Family and Medical Leave Act of 1993, 29 U.S.C. §2601 et seq. and the Americans with Disabilities Act, 42 U.S.C. §12101 et seq.</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left"/>
        <w:rPr/>
      </w:pPr>
      <w:r>
        <w:rPr>
          <w:rFonts w:ascii="Times New Roman" w:hAnsi="Times New Roman"/>
          <w:color w:val="000000"/>
          <w:sz w:val="24"/>
          <w:u w:val="single"/>
        </w:rPr>
        <w:t>Termination by Company for Cause</w:t>
      </w:r>
      <w:r>
        <w:rPr>
          <w:rFonts w:ascii="Times New Roman" w:hAnsi="Times New Roman"/>
          <w:color w:val="000000"/>
          <w:sz w:val="24"/>
        </w:rPr>
        <w:t>. The Company may terminate the Executive’s employment hereunder for Cause. For purposes of this Agreement, “</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shall mean: (a) the Executive has been charged by the United States or a state or political subdivision thereof with conduct which is a felony or which is a misdemeanor involving moral turpitude, deceit, dishonesty or fraud under the laws of the United States or any state or political subdivision thereof; (b) fraud or embezzlement by the Executive with respect to funds of the Company or dishonest, unethical or improper conduct by the Executive that has had, or is reasonably likely to have, a material adverse impact on the reputation for honesty and fair dealing of the Company; (c) the Executive’s intentional failure to comply with lawful instructions not inconsistent with this Agreement given to the Executive by the Board, which failure is not cured or corrected within thirty (30) days after the Executive’s receipt of written notice from the Company referring to this Section and describing with specificity the instructions with which the Executive did not comply; (d) the Executive’s material failure to comply with reasonable policies, directives, standards and regulations adopted by the Company, including, without limitation, the Company’s policies regarding insider trading, except any such failure, that, if capable of cure, is remedied by the Executive within thirty (30) days after the Executive’s receipt of written notice from the Company referring to this paragraph and describing with specificity the failure of the Executive to comply; and (e) material breach by the Executive of the Employee Non-Disclosure and Intellectual Property Agreement by and between the Executive and the Company (the “</w:t>
      </w:r>
      <w:r>
        <w:rPr>
          <w:rFonts w:ascii="Times New Roman" w:hAnsi="Times New Roman"/>
          <w:color w:val="000000"/>
          <w:sz w:val="24"/>
          <w:u w:val="single"/>
        </w:rPr>
        <w:t>Employee Agreement</w:t>
      </w:r>
      <w:r>
        <w:rPr>
          <w:color w:val="000000"/>
        </w:rPr>
        <w:t>”</w:t>
      </w:r>
      <w:r>
        <w:rPr>
          <w:rFonts w:ascii="Times New Roman" w:hAnsi="Times New Roman"/>
          <w:color w:val="000000"/>
          <w:sz w:val="24"/>
        </w:rPr>
        <w:t>) or any other written agreement between the Executive and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left"/>
        <w:rPr/>
      </w:pPr>
      <w:r>
        <w:rPr>
          <w:rFonts w:ascii="Times New Roman" w:hAnsi="Times New Roman"/>
          <w:color w:val="000000"/>
          <w:sz w:val="24"/>
          <w:u w:val="single"/>
        </w:rPr>
        <w:t>Termination Without Cause</w:t>
      </w:r>
      <w:r>
        <w:rPr>
          <w:rFonts w:ascii="Times New Roman" w:hAnsi="Times New Roman"/>
          <w:color w:val="000000"/>
          <w:sz w:val="24"/>
        </w:rPr>
        <w:t>. The Company may terminate the Executive’s employment hereunder at any time without Cause. Any termination by the Company of the Executive’s employment under this Agreement which does not constitute a termination for Cause under Section 3.3 and does not result from the death or disability of the Executive under Section 3.1 or 3.2 shall be deemed a termination without Cause.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left"/>
        <w:rPr/>
      </w:pPr>
      <w:r>
        <w:rPr>
          <w:rFonts w:ascii="Times New Roman" w:hAnsi="Times New Roman"/>
          <w:color w:val="000000"/>
          <w:sz w:val="24"/>
          <w:u w:val="single"/>
        </w:rPr>
        <w:t>Termination by the Executive</w:t>
      </w:r>
      <w:r>
        <w:rPr>
          <w:rFonts w:ascii="Times New Roman" w:hAnsi="Times New Roman"/>
          <w:color w:val="000000"/>
          <w:sz w:val="24"/>
        </w:rPr>
        <w:t xml:space="preserve">. The Executive may terminate his employment hereunder at any time for any reason, including but not limited to Good Reason. For purposes of this Agreement, “Good Reason” shall mean the occurrence of any of the following events: (a) a relocation of the Executive's principal workplace to a location more than 50 miles from Burlington, Massachusetts without the Executive's express written consent; (b) a change in title after a Change in Control without the Executive’s express written consent, provided that after a Change in Control a change in title shall not be deemed to be “Good Reason” as long as the Executive does not have a material diminution of duties or authority; (c) a material breach of the Agreement by the Company or (d) a material diminution in the Executive's compensation or benefits without the express written consent of the Executive; </w:t>
      </w:r>
      <w:r>
        <w:rPr>
          <w:rFonts w:ascii="Times New Roman" w:hAnsi="Times New Roman"/>
          <w:color w:val="000000"/>
          <w:sz w:val="24"/>
          <w:u w:val="single"/>
        </w:rPr>
        <w:t>provided</w:t>
      </w:r>
      <w:r>
        <w:rPr>
          <w:rFonts w:ascii="Times New Roman" w:hAnsi="Times New Roman"/>
          <w:color w:val="000000"/>
          <w:sz w:val="24"/>
        </w:rPr>
        <w:t>, that no such event or occurrence shall constitute Good Reason unless (x) written notice thereof is given by the Executive to the Company within ninety (90) days of its occurrence, (y) the Company shall fail to remedy or cure such event or occurrence within thirty (30) days following its receipt of such notice from the Executive (the “</w:t>
      </w:r>
      <w:r>
        <w:rPr>
          <w:rFonts w:ascii="Times New Roman" w:hAnsi="Times New Roman"/>
          <w:color w:val="000000"/>
          <w:sz w:val="24"/>
          <w:u w:val="single"/>
        </w:rPr>
        <w:t>Cure Period</w:t>
      </w:r>
      <w:r>
        <w:rPr>
          <w:color w:val="000000"/>
        </w:rPr>
        <w:t>”</w:t>
      </w:r>
      <w:r>
        <w:rPr>
          <w:rFonts w:ascii="Times New Roman" w:hAnsi="Times New Roman"/>
          <w:color w:val="000000"/>
          <w:sz w:val="24"/>
        </w:rPr>
        <w:t xml:space="preserve">), and (z) the Executive shall within sixty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(60) days after the expiration of such 30-day period give written notice to the Company of his election to terminate his employment pursuant to this paragraph by reason of such event or occurrence.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3.6.</w:t>
      </w:r>
    </w:p>
    <w:p>
      <w:pPr>
        <w:pStyle w:val="TextBody"/>
        <w:bidi w:val="0"/>
        <w:spacing w:before="0" w:after="240"/>
        <w:jc w:val="left"/>
        <w:rPr/>
      </w:pPr>
      <w:r>
        <w:rPr>
          <w:rFonts w:ascii="Times New Roman" w:hAnsi="Times New Roman"/>
          <w:color w:val="000000"/>
          <w:sz w:val="24"/>
          <w:u w:val="single"/>
        </w:rPr>
        <w:t>Notice of Termination</w:t>
      </w:r>
      <w:r>
        <w:rPr>
          <w:rFonts w:ascii="Times New Roman" w:hAnsi="Times New Roman"/>
          <w:color w:val="000000"/>
          <w:sz w:val="24"/>
        </w:rPr>
        <w:t>. Except for termination as specified in Section 3.1, any termination of the Executive’s employment by the Company or any such termination by the Executive shall be communicated by written Notice of Termination to the other party hereto. For purposes of this Agreement, a “</w:t>
      </w:r>
      <w:r>
        <w:rPr>
          <w:rFonts w:ascii="Times New Roman" w:hAnsi="Times New Roman"/>
          <w:color w:val="000000"/>
          <w:sz w:val="24"/>
          <w:u w:val="single"/>
        </w:rPr>
        <w:t>Notice of Termination</w:t>
      </w:r>
      <w:r>
        <w:rPr>
          <w:color w:val="000000"/>
        </w:rPr>
        <w:t xml:space="preserve">” </w:t>
      </w:r>
      <w:r>
        <w:rPr>
          <w:rFonts w:ascii="Times New Roman" w:hAnsi="Times New Roman"/>
          <w:color w:val="000000"/>
          <w:sz w:val="24"/>
        </w:rPr>
        <w:t>shall mean a notice which shall indicate the specific termination provision in this Agreement relied upon.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3.7.</w:t>
      </w:r>
    </w:p>
    <w:p>
      <w:pPr>
        <w:pStyle w:val="TextBody"/>
        <w:bidi w:val="0"/>
        <w:spacing w:before="0" w:after="240"/>
        <w:jc w:val="left"/>
        <w:rPr/>
      </w:pPr>
      <w:r>
        <w:rPr>
          <w:rFonts w:ascii="Times New Roman" w:hAnsi="Times New Roman"/>
          <w:color w:val="000000"/>
          <w:sz w:val="24"/>
          <w:u w:val="single"/>
        </w:rPr>
        <w:t>Date of Termination</w:t>
      </w:r>
      <w:r>
        <w:rPr>
          <w:rFonts w:ascii="Times New Roman" w:hAnsi="Times New Roman"/>
          <w:color w:val="000000"/>
          <w:sz w:val="24"/>
        </w:rPr>
        <w:t>. “</w:t>
      </w:r>
      <w:r>
        <w:rPr>
          <w:rFonts w:ascii="Times New Roman" w:hAnsi="Times New Roman"/>
          <w:color w:val="000000"/>
          <w:sz w:val="24"/>
          <w:u w:val="single"/>
        </w:rPr>
        <w:t>Date of Termination</w:t>
      </w:r>
      <w:r>
        <w:rPr>
          <w:color w:val="000000"/>
        </w:rPr>
        <w:t xml:space="preserve">” </w:t>
      </w:r>
      <w:r>
        <w:rPr>
          <w:rFonts w:ascii="Times New Roman" w:hAnsi="Times New Roman"/>
          <w:color w:val="000000"/>
          <w:sz w:val="24"/>
        </w:rPr>
        <w:t>shall mean: (i) if the Executive’s employment is terminated by his death, the date of his death; (ii) if the Executive’s employment is terminated on account of disability under Section 3.2 or by the Company for Cause under Section 3.3, the date on which Notice of Termination is given; (iii) if the Executive’s employment is terminated by the Company under Section 3.4, the date on which a Notice of Termination is given; (iv) if the Executive’s employment is terminated by the Executive under Section 3.5 without Good Reason, thirty (30) days after the date on which a Notice of Termination is given, and (v) if the Executive’s employment is terminated by the Executive under Section 3.5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0"/>
        <w:jc w:val="both"/>
        <w:rPr/>
      </w:pPr>
      <w:r>
        <w:rPr>
          <w:rFonts w:ascii="Times New Roman" w:hAnsi="Times New Roman"/>
          <w:color w:val="000000"/>
          <w:sz w:val="24"/>
          <w:u w:val="single"/>
        </w:rPr>
        <w:t>Compensation Upon Termination</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left"/>
        <w:rPr/>
      </w:pPr>
      <w:r>
        <w:rPr>
          <w:rFonts w:ascii="Times New Roman" w:hAnsi="Times New Roman"/>
          <w:color w:val="000000"/>
          <w:sz w:val="24"/>
          <w:u w:val="single"/>
        </w:rPr>
        <w:t>Termination Generally</w:t>
      </w:r>
      <w:r>
        <w:rPr>
          <w:rFonts w:ascii="Times New Roman" w:hAnsi="Times New Roman"/>
          <w:color w:val="000000"/>
          <w:sz w:val="24"/>
        </w:rPr>
        <w:t>. If the Executive’s employment with the Company is terminated for any reason, the Company shall pay or provide to the Executive (or to his authorized representative or estate) (i) any Base Salary earned through the Date of Termination and unpaid expense reimbursements (subject to, and in accordance with, Section 2.3 of this Agreement); and (ii)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hAnsi="Times New Roman"/>
          <w:color w:val="000000"/>
          <w:sz w:val="24"/>
          <w:u w:val="single"/>
        </w:rPr>
        <w:t>Accrued Benefit</w:t>
      </w:r>
      <w:r>
        <w:rPr>
          <w:color w:val="000000"/>
        </w:rPr>
        <w:t>”</w:t>
      </w:r>
      <w:r>
        <w:rPr>
          <w:rFonts w:ascii="Times New Roman" w:hAnsi="Times New Roman"/>
          <w:color w:val="000000"/>
          <w:sz w:val="24"/>
        </w:rPr>
        <w:t>).</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4.2.</w:t>
      </w:r>
    </w:p>
    <w:p>
      <w:pPr>
        <w:pStyle w:val="TextBody"/>
        <w:bidi w:val="0"/>
        <w:spacing w:before="240" w:after="240"/>
        <w:jc w:val="left"/>
        <w:rPr/>
      </w:pPr>
      <w:r>
        <w:rPr>
          <w:rFonts w:ascii="Times New Roman" w:hAnsi="Times New Roman"/>
          <w:color w:val="000000"/>
          <w:sz w:val="24"/>
          <w:u w:val="single"/>
        </w:rPr>
        <w:t>Termination by the Company Without Cause or by the Executive with Good Reason</w:t>
      </w:r>
      <w:r>
        <w:rPr>
          <w:rFonts w:ascii="Times New Roman" w:hAnsi="Times New Roman"/>
          <w:color w:val="000000"/>
          <w:sz w:val="24"/>
        </w:rPr>
        <w:t>. During the Term, if the Executive’s employment is terminated by the Company without Cause as provided in Section 3.4, or the Executive terminates his employment for Good Reason as provided in Section 3.5, then the Company shall pay the Executive his Accrued Benefit. In addition, subject to the Executive signing and delivering to the Company a noncompetition agreement (the “</w:t>
      </w:r>
      <w:r>
        <w:rPr>
          <w:rFonts w:ascii="Times New Roman" w:hAnsi="Times New Roman"/>
          <w:color w:val="000000"/>
          <w:sz w:val="24"/>
          <w:u w:val="single"/>
        </w:rPr>
        <w:t>Noncompete Agreement</w:t>
      </w:r>
      <w:r>
        <w:rPr>
          <w:color w:val="000000"/>
        </w:rPr>
        <w:t>”</w:t>
      </w:r>
      <w:r>
        <w:rPr>
          <w:rFonts w:ascii="Times New Roman" w:hAnsi="Times New Roman"/>
          <w:color w:val="000000"/>
          <w:sz w:val="24"/>
        </w:rPr>
        <w:t xml:space="preserve">) in substantially the form attached hereto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and a general release (the “</w:t>
      </w:r>
      <w:r>
        <w:rPr>
          <w:rFonts w:ascii="Times New Roman" w:hAnsi="Times New Roman"/>
          <w:color w:val="000000"/>
          <w:sz w:val="24"/>
          <w:u w:val="single"/>
        </w:rPr>
        <w:t>Release</w:t>
      </w:r>
      <w:r>
        <w:rPr>
          <w:color w:val="000000"/>
        </w:rPr>
        <w:t>”</w:t>
      </w:r>
      <w:r>
        <w:rPr>
          <w:rFonts w:ascii="Times New Roman" w:hAnsi="Times New Roman"/>
          <w:color w:val="000000"/>
          <w:sz w:val="24"/>
        </w:rPr>
        <w:t xml:space="preserve">) substantially in the form attached hereto as </w:t>
      </w:r>
      <w:r>
        <w:rPr>
          <w:rFonts w:ascii="Times New Roman" w:hAnsi="Times New Roman"/>
          <w:color w:val="000000"/>
          <w:sz w:val="24"/>
          <w:u w:val="single"/>
        </w:rPr>
        <w:t>Exhibit B</w:t>
      </w:r>
      <w:r>
        <w:rPr>
          <w:rFonts w:ascii="Times New Roman" w:hAnsi="Times New Roman"/>
          <w:color w:val="000000"/>
          <w:sz w:val="24"/>
        </w:rPr>
        <w:t>, with the Release becoming irrevocable and fully effective and, if applicable, the Executive resigning as a member of the Board of Directors, all within 60 days after the Date of Termination (or such shorter time period provided in the Release):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120"/>
        <w:jc w:val="left"/>
        <w:rPr/>
      </w:pPr>
      <w:r>
        <w:rPr>
          <w:rFonts w:ascii="Times New Roman" w:hAnsi="Times New Roman"/>
          <w:color w:val="000000"/>
          <w:sz w:val="24"/>
        </w:rPr>
        <w:t>subject to clause (iv) below, the Company shall pay the Executive an amount equal to the Executive’s Base Salary paid during the twelve (12) months immediately preceding the termination of the Executive’s employment with the Company, divided by the number of days employed during the twelve (12) months immediately preceding the termination of the Executive’s employment with the Company and multiplied by 365 (the “</w:t>
      </w:r>
      <w:r>
        <w:rPr>
          <w:rFonts w:ascii="Times New Roman" w:hAnsi="Times New Roman"/>
          <w:color w:val="000000"/>
          <w:sz w:val="24"/>
          <w:u w:val="single"/>
        </w:rPr>
        <w:t>Severance Amount</w:t>
      </w:r>
      <w:r>
        <w:rPr>
          <w:color w:val="000000"/>
        </w:rPr>
        <w:t>”</w:t>
      </w:r>
      <w:r>
        <w:rPr>
          <w:rFonts w:ascii="Times New Roman" w:hAnsi="Times New Roman"/>
          <w:color w:val="000000"/>
          <w:sz w:val="24"/>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twelve (12) months following the Date of Termination shall vest and become exercisable or nonforfeitable as of the Date of Termination;</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120"/>
        <w:jc w:val="left"/>
        <w:rPr/>
      </w:pPr>
      <w:r>
        <w:rPr>
          <w:rFonts w:ascii="Times New Roman" w:hAnsi="Times New Roman"/>
          <w:color w:val="000000"/>
          <w:sz w:val="24"/>
        </w:rPr>
        <w:t>the Company paying the difference between the cost of COBRA continuation coverage, should the Executive elect to receive it, for the Executive and any dependent who received health insurance coverage prior to termination of the Executive’s employment with the Company, and any premium contribution amount applicable to the Executive as of such termination, for a period of twelve (12) months following the date of termination of the Executive’s employment with the Company (“</w:t>
      </w:r>
      <w:r>
        <w:rPr>
          <w:rFonts w:ascii="Times New Roman" w:hAnsi="Times New Roman"/>
          <w:color w:val="000000"/>
          <w:sz w:val="24"/>
          <w:u w:val="single"/>
        </w:rPr>
        <w:t>Continuation Benefits</w:t>
      </w:r>
      <w:r>
        <w:rPr>
          <w:color w:val="000000"/>
        </w:rPr>
        <w:t>”</w:t>
      </w:r>
      <w:r>
        <w:rPr>
          <w:rFonts w:ascii="Times New Roman" w:hAnsi="Times New Roman"/>
          <w:color w:val="000000"/>
          <w:sz w:val="24"/>
        </w:rPr>
        <w:t>). Continuation Benefits otherwise receivable by the Executive will be reduced to the extent benefits of the same type are received by or made available to him during the applicable twelve-month period (and any such benefits received by or made available to the Executive shall be reported by him to the Company); and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amounts payable under Section 4.2(i) and (iii)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Change of Control Payment</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provisions of this Section 5 set forth certain terms of an agreement reached between the Executive and the Company regarding the Executive’s rights and obligations upon the occurrence of a Change of Control of the Company (as defined below).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4.2 regarding severance pay and benefits upon a termination of employment, if such termination of employment occurs within eighteen (18) months after the occurrence of the first event constituting a Change of Control. These provisions shall terminate and be of no further force or effect beginning eighteen (18) months after the occurrence of a Change of Control.</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40"/>
        <w:jc w:val="left"/>
        <w:rPr/>
      </w:pPr>
      <w:r>
        <w:rPr>
          <w:rFonts w:ascii="Times New Roman" w:hAnsi="Times New Roman"/>
          <w:color w:val="000000"/>
          <w:sz w:val="24"/>
          <w:u w:val="single"/>
        </w:rPr>
        <w:t>Change of Control</w:t>
      </w:r>
      <w:r>
        <w:rPr>
          <w:rFonts w:ascii="Times New Roman" w:hAnsi="Times New Roman"/>
          <w:color w:val="000000"/>
          <w:sz w:val="24"/>
        </w:rPr>
        <w:t>. During the Term, if within eighteen (18) months after a Change of Control, the Executive’s employment is terminated by the Company without Cause as provided in Section 3.4 or the Executive terminates his employment for Good Reason as provided in Section 3.5, then, subject to the Executive signing and delivering to the Company the Noncompete Agreement and the Release, and the Release becoming irrevocable and fully effective and, if applicable, the Executive resigning as a member of the Board of Directors, all within 60 days after the Date of Termination (or such shorter time period provided in the Release):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pPr>
      <w:r>
        <w:rPr>
          <w:rFonts w:ascii="Times New Roman" w:hAnsi="Times New Roman"/>
          <w:color w:val="000000"/>
          <w:sz w:val="24"/>
        </w:rPr>
        <w:t>the Company shall pay the Executive a lump sum in cash an amount equal to (A) 1.5 times (B) the Executive’s Base Salary paid during the twelve (12) months immediately preceding the termination of the Executive’s employment with the Company, divided by the number of days employed during the twelve (12) months immediately preceding the termination of the Executive’s employment with the Company and multiplied by 365 (the “</w:t>
      </w:r>
      <w:r>
        <w:rPr>
          <w:rFonts w:ascii="Times New Roman" w:hAnsi="Times New Roman"/>
          <w:color w:val="000000"/>
          <w:sz w:val="24"/>
          <w:u w:val="single"/>
        </w:rPr>
        <w:t>Change of Control Severance Amount</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notwithstanding anything to the contrary in any applicable option agreement or stock-based award agreement, all time-based stock options and other time-based stock-based awards held by the Executive as of the occurrence of such Change of Control shall immediately accelerate and become fully exercisable or nonforfeitable as of the Date of Termination;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the Company paying the difference between the cost of COBRA continuation coverage, should the Executive elect to receive it, for the Executive and any dependent who received health insurance coverage prior to termination of the Executive’s employment with the Company, and any premium contribution amount applicable to the Executive as of such termination, for a period of eighteen (18) months following the date of termination of the Executive’s employment with the Company (“</w:t>
      </w:r>
      <w:r>
        <w:rPr>
          <w:rFonts w:ascii="Times New Roman" w:hAnsi="Times New Roman"/>
          <w:color w:val="000000"/>
          <w:sz w:val="24"/>
          <w:u w:val="single"/>
        </w:rPr>
        <w:t>Change of Control Continuation Benefits</w:t>
      </w:r>
      <w:r>
        <w:rPr>
          <w:color w:val="000000"/>
        </w:rPr>
        <w:t>”</w:t>
      </w:r>
      <w:r>
        <w:rPr>
          <w:rFonts w:ascii="Times New Roman" w:hAnsi="Times New Roman"/>
          <w:color w:val="000000"/>
          <w:sz w:val="24"/>
        </w:rPr>
        <w:t xml:space="preserve">). Change of Control Continuation Benefits otherwise receivable by the Executive will be reduced to the extent benefits of the same type are received by or made available to him during the applicable eighteen-month period (and any such benefits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received by or made available to the Executive shall be reported by him to the Company); and</w:t>
      </w:r>
      <w:r>
        <w:rPr>
          <w:color w:val="000000"/>
        </w:rPr>
        <w:t xml:space="preserve">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amounts payable under Section 5.1(a)(i) and 5.1(a)(iii) shall be paid or commence to be paid within 60 days after the Date of Termination; provided, however, that if the 60-day period begins in one calendar year and ends in a second calendar year, the Change of Control Severance Amount shall be paid in the second calendar year by the last day of such 60-day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left"/>
        <w:rPr/>
      </w:pPr>
      <w:r>
        <w:rPr>
          <w:rFonts w:ascii="Times New Roman" w:hAnsi="Times New Roman"/>
          <w:color w:val="000000"/>
          <w:sz w:val="24"/>
          <w:u w:val="single"/>
        </w:rPr>
        <w:t>Definition of Change of Control</w:t>
      </w:r>
      <w:r>
        <w:rPr>
          <w:rFonts w:ascii="Times New Roman" w:hAnsi="Times New Roman"/>
          <w:color w:val="000000"/>
          <w:sz w:val="24"/>
        </w:rPr>
        <w:t>. For purposes of this Agreement, a "</w:t>
      </w:r>
      <w:r>
        <w:rPr>
          <w:rFonts w:ascii="Times New Roman" w:hAnsi="Times New Roman"/>
          <w:color w:val="000000"/>
          <w:sz w:val="24"/>
          <w:u w:val="single"/>
        </w:rPr>
        <w:t>Change of Control</w:t>
      </w:r>
      <w:r>
        <w:rPr>
          <w:rFonts w:ascii="Times New Roman" w:hAnsi="Times New Roman"/>
          <w:color w:val="000000"/>
          <w:sz w:val="24"/>
        </w:rPr>
        <w:t>" shall mean the occurrence of any of the following: (i) the acquisition by an individual, entity, group or any other person of beneficial ownership of more than fifty percent (50%) or more of either (x) the then-outstanding shares of common stock of the Company or (y) the combined voting power of the election of directors for the Company; and/or (ii) the sale of substantially all of the Company's assets or a merger or sale of stock wherein the holders of the Company's capital stock immediately prior to such sale do not hold at least a majority of the outstanding capital stock of the Company or its successor immediately following such sale; and/or (iii) the Company’s shareholders approve and complete any plan or proposal for the liquidation or dissolution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pPr>
      <w:r>
        <w:rPr>
          <w:rFonts w:ascii="Times New Roman" w:hAnsi="Times New Roman"/>
          <w:color w:val="000000"/>
          <w:sz w:val="24"/>
          <w:u w:val="single"/>
        </w:rPr>
        <w:t>Other Provisions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left"/>
        <w:rPr/>
      </w:pPr>
      <w:r>
        <w:rPr>
          <w:rFonts w:ascii="Times New Roman" w:hAnsi="Times New Roman"/>
          <w:color w:val="000000"/>
          <w:sz w:val="24"/>
          <w:u w:val="single"/>
        </w:rPr>
        <w:t>Amounts Payable Less Withholding Taxes</w:t>
      </w:r>
      <w:r>
        <w:rPr>
          <w:rFonts w:ascii="Times New Roman" w:hAnsi="Times New Roman"/>
          <w:color w:val="000000"/>
          <w:sz w:val="24"/>
        </w:rPr>
        <w:t>. The amounts payable by the Company hereunder shall be less any federal, state or local withholding taxes and social security.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left"/>
        <w:rPr/>
      </w:pPr>
      <w:r>
        <w:rPr>
          <w:rFonts w:ascii="Times New Roman" w:hAnsi="Times New Roman"/>
          <w:color w:val="000000"/>
          <w:sz w:val="24"/>
          <w:u w:val="single"/>
        </w:rPr>
        <w:t>Parachute Payments</w:t>
      </w:r>
      <w:r>
        <w:rPr>
          <w:rFonts w:ascii="Times New Roman" w:hAnsi="Times New Roman"/>
          <w:color w:val="000000"/>
          <w:sz w:val="24"/>
        </w:rPr>
        <w:t>. It is the intention of the parties that no payment or benefit arising out of or in connection with a Change of Control that is made or provided, or to be made or provided, by the Company to the Executive, whether pursuant to the terms of this Agreement or any other plan, agreement, or arrangement (any such payment or benefit, a “</w:t>
      </w:r>
      <w:r>
        <w:rPr>
          <w:rFonts w:ascii="Times New Roman" w:hAnsi="Times New Roman"/>
          <w:color w:val="000000"/>
          <w:sz w:val="24"/>
          <w:u w:val="single"/>
        </w:rPr>
        <w:t>Parachute Payment</w:t>
      </w:r>
      <w:r>
        <w:rPr>
          <w:color w:val="000000"/>
        </w:rPr>
        <w:t>”</w:t>
      </w:r>
      <w:r>
        <w:rPr>
          <w:rFonts w:ascii="Times New Roman" w:hAnsi="Times New Roman"/>
          <w:b/>
          <w:color w:val="000000"/>
          <w:sz w:val="24"/>
        </w:rPr>
        <w:t>)</w:t>
      </w:r>
      <w:r>
        <w:rPr>
          <w:color w:val="000000"/>
        </w:rPr>
        <w:t xml:space="preserve"> </w:t>
      </w:r>
      <w:r>
        <w:rPr>
          <w:rFonts w:ascii="Times New Roman" w:hAnsi="Times New Roman"/>
          <w:color w:val="000000"/>
          <w:sz w:val="24"/>
        </w:rPr>
        <w:t>shall be non</w:t>
        <w:noBreakHyphen/>
        <w:t>deductible to the Company by reason of the operation of Section 280G of the Internal Revenue Code of 1986, as amended (the “</w:t>
      </w:r>
      <w:r>
        <w:rPr>
          <w:rFonts w:ascii="Times New Roman" w:hAnsi="Times New Roman"/>
          <w:color w:val="000000"/>
          <w:sz w:val="24"/>
          <w:u w:val="single"/>
        </w:rPr>
        <w:t>Code</w:t>
      </w:r>
      <w:r>
        <w:rPr>
          <w:color w:val="000000"/>
        </w:rPr>
        <w:t>”</w:t>
      </w:r>
      <w:r>
        <w:rPr>
          <w:rFonts w:ascii="Times New Roman" w:hAnsi="Times New Roman"/>
          <w:color w:val="000000"/>
          <w:sz w:val="24"/>
        </w:rPr>
        <w:t>) relating to parachute payments. Accordingly, and notwithstanding any other provision of this Agreement or any such agreement or plan, if by reason of the operation of said Section 280G, any such Parachute Payments exceed the amount which can be deducted by the Company, such Parachute Payments shall be reduced to the maximum amount which can be deducted by the Company. To the extent that Parachute Payments exceeding such maximum deductible amount have been made to the Executive or his beneficiary, he or his beneficiary shall refund such excess payments to the Company with interest thereon at the Applicable Federal Rate determined under Section 1274(d) of the Code, compounded annually, or at such other rate as may be required in order that no such payments shall be non</w:t>
        <w:noBreakHyphen/>
        <w:t xml:space="preserve">deductible to the Company by reason of the operation of said Section 280G. Any reduction in Parachute Payments required to be made pursuant to this Section 6.2 shall be made first with respect to Parachute Payments payable in cash before being made in respect to any Parachute Payments to be provided in the form of benefits or equity award acceleration, and in the form of benefits before being made with respect to equity award acceleration, and in any case, shall be made with respect to such Parachute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Payments in inverse order of the scheduled dates or times for the payment or provision of such Parachute Payments.</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6.3.</w:t>
      </w:r>
    </w:p>
    <w:p>
      <w:pPr>
        <w:pStyle w:val="TextBody"/>
        <w:bidi w:val="0"/>
        <w:spacing w:before="240" w:after="240"/>
        <w:jc w:val="left"/>
        <w:rPr/>
      </w:pPr>
      <w:r>
        <w:rPr>
          <w:rFonts w:ascii="Times New Roman" w:hAnsi="Times New Roman"/>
          <w:color w:val="000000"/>
          <w:sz w:val="24"/>
          <w:u w:val="single"/>
        </w:rPr>
        <w:t>Section 409A</w:t>
      </w:r>
      <w:r>
        <w:rPr>
          <w:rFonts w:ascii="Times New Roman" w:hAnsi="Times New Roman"/>
          <w:color w:val="000000"/>
          <w:sz w:val="24"/>
        </w:rPr>
        <w:t>. It is intended that this Agreement comply with or be exempt from Section 409A of the Internal Revenue Code and the Treasury Regulations and IRS guidance thereunder (collectively referred to as “</w:t>
      </w:r>
      <w:r>
        <w:rPr>
          <w:rFonts w:ascii="Times New Roman" w:hAnsi="Times New Roman"/>
          <w:color w:val="000000"/>
          <w:sz w:val="24"/>
          <w:u w:val="single"/>
        </w:rPr>
        <w:t>Section 409A</w:t>
      </w:r>
      <w:r>
        <w:rPr>
          <w:color w:val="000000"/>
        </w:rPr>
        <w:t>”</w:t>
      </w:r>
      <w:r>
        <w:rPr>
          <w:rFonts w:ascii="Times New Roman" w:hAnsi="Times New Roman"/>
          <w:color w:val="000000"/>
          <w:sz w:val="24"/>
        </w:rPr>
        <w:t>). Notwithstanding anything to the contrary in this Agreement, this Agreement shall, to the maximum extent possible, be administered, interpreted, and construed in a manner consistent with Section 409A. If and to the extent required to comply with Section 409A, no payment or benefit required to be paid under this Agreement on account of termination of the Executive’s employment shall be made unless and until the Executive has a “separation from service” within the meaning of Section 409A. In the case of any amounts payable under this Agreement that may be treated as payable in the form of “a series of installment payments,” as defined in Treasury Regulation Section 1.409A-2(b)(2)(iii), the right to receive such payments shall be treated as a right to receive a series of separate payments for purposes of such Treasury Regulation. If the Executive is a “specified employee” as determined pursuant to Section 409A as of the date of termination of employment and if any payment or benefit provided for in this Agreement or otherwise both (x) constitutes a “deferral of compensation” within the meaning of Section 409A and (y) cannot be paid or provided in the manner otherwise provided without subjecting the Executive to additional tax, interest, or penalties under Section 409A, then any such payment or benefit shall be delayed until the earlier of (i) the date which is six (6) months after the Executive’s “separation from service” within the meaning of Section 409A for any reason other than death, or (ii) the date of the Executive’s death. Any payment or benefit otherwise payable or to be provided to the Executive upon or in the six (6) month period following “separation from service” that is not so paid or provided by reason of this Section 6.3 shall be accumulated and paid or provided to the Executive in a single lump sum, as soon as practicable (and in all events within 15 days) after the date that is six (6) months after the Executive’s “separation from service” (or, if earlier, as soon as practicable, and in all events within fifteen (15) days, after the date of the Executive’s death). All subsequent payments or benefits, if any, shall be payable or provided in accordance with the payment schedule applicable to each payment or benefit. It is the intent of this Agreement to comply with the requirements of Section 409A so that none of the severance payments and benefits to be provided hereunder shall be subject to the additional tax imposed under Section 409A, and any ambiguities herein shall be interpreted to so comply. The Company and the Executive agree to work together in good faith to consider amendments to this Agreement and to take such reasonable actions that are necessary, appropriate or desirable to avoid imposition of any additional tax or income recognition prior to actual payment to the Executive under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6.4.</w:t>
      </w:r>
    </w:p>
    <w:p>
      <w:pPr>
        <w:pStyle w:val="TextBody"/>
        <w:bidi w:val="0"/>
        <w:spacing w:before="0" w:after="240"/>
        <w:jc w:val="both"/>
        <w:rPr/>
      </w:pPr>
      <w:r>
        <w:rPr>
          <w:rFonts w:ascii="Times New Roman" w:hAnsi="Times New Roman"/>
          <w:color w:val="000000"/>
          <w:sz w:val="24"/>
          <w:u w:val="single"/>
        </w:rPr>
        <w:t>Post-termination Determination of Cause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following termination of the Executive’s employment other than for Cause there shall occur any event that would otherwise constitute Cause for termination of such employment, the Executive will repay any Severance Amount, Change of Control Severance Amount, Continuation Benefits and Change of Control Continuation Benefits previously paid, and his right to receive any future Severance Amount, Change of Control Severance Amount, Continuation Benefits and Change of Control Continuation Benefits will terminate and any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Non-Compete and any Release provided by Executive to Company as part of his termination of employment shall be null and void and treated as though never effective.</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employment of the Executive is terminated by the Company for Cause pursuant to Section 3.3(a) above, and if the charges of criminal conduct are subsequently dismissed, or the Executive is acquitted of such charges, then in such event the Executive’s termination shall be deemed to have been made without Cause, and in such event the Company shall pay to the Executive the amounts he would have been entitled had the Company terminated his employment without Cause.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6.5.</w:t>
      </w:r>
    </w:p>
    <w:p>
      <w:pPr>
        <w:pStyle w:val="TextBody"/>
        <w:bidi w:val="0"/>
        <w:spacing w:before="0" w:after="240"/>
        <w:jc w:val="left"/>
        <w:rPr/>
      </w:pPr>
      <w:r>
        <w:rPr>
          <w:rFonts w:ascii="Times New Roman" w:hAnsi="Times New Roman"/>
          <w:color w:val="000000"/>
          <w:sz w:val="24"/>
          <w:u w:val="single"/>
        </w:rPr>
        <w:t>Employee Agreement</w:t>
      </w:r>
      <w:r>
        <w:rPr>
          <w:rFonts w:ascii="Times New Roman" w:hAnsi="Times New Roman"/>
          <w:color w:val="000000"/>
          <w:sz w:val="24"/>
        </w:rPr>
        <w:t xml:space="preserve">. The Executive acknowledges and agrees that the Employee Agreement is a binding and enforceable obligation of the Executive that inures to the benefit of the Company’s successors and assigns, including any corporation with which or into which the Company may be merged or which may succeed to its assets or business in a Change of Control.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6.6.</w:t>
      </w:r>
    </w:p>
    <w:p>
      <w:pPr>
        <w:pStyle w:val="TextBody"/>
        <w:bidi w:val="0"/>
        <w:spacing w:before="240" w:after="240"/>
        <w:jc w:val="left"/>
        <w:rPr/>
      </w:pPr>
      <w:r>
        <w:rPr>
          <w:rFonts w:ascii="Times New Roman" w:hAnsi="Times New Roman"/>
          <w:color w:val="000000"/>
          <w:sz w:val="24"/>
          <w:u w:val="single"/>
        </w:rPr>
        <w:t>Notices</w:t>
      </w:r>
      <w:r>
        <w:rPr>
          <w:rFonts w:ascii="Times New Roman" w:hAnsi="Times New Roman"/>
          <w:color w:val="000000"/>
          <w:sz w:val="24"/>
        </w:rPr>
        <w:t>. Any notice or other communication required or permitted hereunder shall be in writing and shall be deemed given when delivered personally (including by overnight courier) or, if sent by regular mail, three days after the date of deposit in the United States mails addressed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the Company, to:</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Aware, Inc.</w:t>
        <w:br/>
        <w:t>76 Blanchard Road</w:t>
        <w:br/>
        <w:t>Burlington, Massachusetts 01803</w:t>
        <w:br/>
        <w:t>Attention: Chair of the Compensation Committee</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if to the Executive, to:</w:t>
      </w:r>
    </w:p>
    <w:p>
      <w:pPr>
        <w:pStyle w:val="TextBody"/>
        <w:bidi w:val="0"/>
        <w:jc w:val="left"/>
        <w:rPr>
          <w:rFonts w:ascii="Times New Roman" w:hAnsi="Times New Roman"/>
          <w:color w:val="000000"/>
          <w:sz w:val="24"/>
        </w:rPr>
      </w:pPr>
      <w:r>
        <w:rPr>
          <w:rFonts w:ascii="Times New Roman" w:hAnsi="Times New Roman"/>
          <w:color w:val="000000"/>
          <w:sz w:val="24"/>
        </w:rPr>
        <w:t>David Traverse</w:t>
      </w:r>
    </w:p>
    <w:p>
      <w:pPr>
        <w:pStyle w:val="TextBody"/>
        <w:bidi w:val="0"/>
        <w:jc w:val="left"/>
        <w:rPr>
          <w:rFonts w:ascii="Times New Roman" w:hAnsi="Times New Roman"/>
          <w:color w:val="000000"/>
          <w:sz w:val="24"/>
        </w:rPr>
      </w:pPr>
      <w:r>
        <w:rPr>
          <w:rFonts w:ascii="Times New Roman" w:hAnsi="Times New Roman"/>
          <w:color w:val="000000"/>
          <w:sz w:val="24"/>
        </w:rPr>
        <w:t>108 Adams Street</w:t>
      </w:r>
    </w:p>
    <w:p>
      <w:pPr>
        <w:pStyle w:val="TextBody"/>
        <w:bidi w:val="0"/>
        <w:jc w:val="left"/>
        <w:rPr>
          <w:rFonts w:ascii="Times New Roman" w:hAnsi="Times New Roman"/>
          <w:color w:val="000000"/>
          <w:sz w:val="24"/>
        </w:rPr>
      </w:pPr>
      <w:r>
        <w:rPr>
          <w:rFonts w:ascii="Times New Roman" w:hAnsi="Times New Roman"/>
          <w:color w:val="000000"/>
          <w:sz w:val="24"/>
        </w:rPr>
        <w:t>Dunstable, MA 01827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or to such other address as either party may from time to time provide to the other by notice as provided in this section.</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6.7.</w:t>
      </w:r>
    </w:p>
    <w:p>
      <w:pPr>
        <w:pStyle w:val="TextBody"/>
        <w:bidi w:val="0"/>
        <w:spacing w:before="240" w:after="240"/>
        <w:jc w:val="left"/>
        <w:rPr/>
      </w:pPr>
      <w:r>
        <w:rPr>
          <w:rFonts w:ascii="Times New Roman" w:hAnsi="Times New Roman"/>
          <w:color w:val="000000"/>
          <w:sz w:val="24"/>
          <w:u w:val="single"/>
        </w:rPr>
        <w:t>Entire Agreement</w:t>
      </w:r>
      <w:r>
        <w:rPr>
          <w:rFonts w:ascii="Times New Roman" w:hAnsi="Times New Roman"/>
          <w:color w:val="000000"/>
          <w:sz w:val="24"/>
        </w:rPr>
        <w:t xml:space="preserve">. This Agreement, the Employee Agreement, the Indemnification Agreement and the Unrestricted Stock Award Agreement constitute the entire agreement and understanding between the Company and the Executive, and supersede all prior negotiations, agreements, arrangements, and understandings, both written or oral, between the Company and the Executive with respect to the subject matter of this Agreement. In the event of a discrepancy between any of these documents, the Employment Agreement will control unless specifically provided for in any provision of the Indemnification Agreement or Unrestricted Stock Award Agreement.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6.8.</w:t>
      </w:r>
    </w:p>
    <w:p>
      <w:pPr>
        <w:pStyle w:val="TextBody"/>
        <w:bidi w:val="0"/>
        <w:spacing w:before="240" w:after="283"/>
        <w:jc w:val="left"/>
        <w:rPr/>
      </w:pPr>
      <w:r>
        <w:rPr>
          <w:rFonts w:ascii="Times New Roman" w:hAnsi="Times New Roman"/>
          <w:color w:val="000000"/>
          <w:sz w:val="24"/>
          <w:u w:val="single"/>
        </w:rPr>
        <w:t>Waiver or Amendment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waiver by either party of a breach or violation of any term or provision of this Agreement by the other party shall not operate or be construed as a waiver of any subsequent breach or violation of any provision of this Agreement or of any other right or remedy.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provision in this Agreement may be amended unless such amendment is set forth in a writing that specifically refers to this Agreement and is signed by the Executive and the Company.</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6.9.</w:t>
      </w:r>
    </w:p>
    <w:p>
      <w:pPr>
        <w:pStyle w:val="TextBody"/>
        <w:bidi w:val="0"/>
        <w:spacing w:before="240" w:after="240"/>
        <w:jc w:val="left"/>
        <w:rPr/>
      </w:pPr>
      <w:r>
        <w:rPr>
          <w:rFonts w:ascii="Times New Roman" w:hAnsi="Times New Roman"/>
          <w:color w:val="000000"/>
          <w:sz w:val="24"/>
          <w:u w:val="single"/>
        </w:rPr>
        <w:t>Governing Law</w:t>
      </w:r>
      <w:r>
        <w:rPr>
          <w:rFonts w:ascii="Times New Roman" w:hAnsi="Times New Roman"/>
          <w:color w:val="000000"/>
          <w:sz w:val="24"/>
        </w:rPr>
        <w:t>. This Agreement shall be governed by and construed in accordance with the laws of The Commonwealth of Massachusetts without regard to its conflict of laws rules.</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6.10.</w:t>
      </w:r>
    </w:p>
    <w:p>
      <w:pPr>
        <w:pStyle w:val="TextBody"/>
        <w:bidi w:val="0"/>
        <w:spacing w:before="240" w:after="240"/>
        <w:jc w:val="left"/>
        <w:rPr/>
      </w:pPr>
      <w:r>
        <w:rPr>
          <w:rFonts w:ascii="Times New Roman" w:hAnsi="Times New Roman"/>
          <w:color w:val="000000"/>
          <w:sz w:val="24"/>
          <w:u w:val="single"/>
        </w:rPr>
        <w:t>Successors; Assignment</w:t>
      </w:r>
      <w:r>
        <w:rPr>
          <w:rFonts w:ascii="Times New Roman" w:hAnsi="Times New Roman"/>
          <w:color w:val="000000"/>
          <w:sz w:val="24"/>
        </w:rPr>
        <w:t>. The Company shall require any successor via a Change of Control (whether direct or indirect, by purchase, merger, consolidation or otherwise) to assume expressly and agree to perform this Agreement in the same manner and to the same extent that the Company would be required to perform it if no such succession had taken place. This Agreement shall inure to the benefit of, and shall be binding upon, each of the Company and the Executive and their respective heirs, personal representatives, legal representatives, successors and assigns.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6.11.</w:t>
      </w:r>
    </w:p>
    <w:p>
      <w:pPr>
        <w:pStyle w:val="TextBody"/>
        <w:bidi w:val="0"/>
        <w:spacing w:before="240" w:after="283"/>
        <w:jc w:val="left"/>
        <w:rPr/>
      </w:pPr>
      <w:r>
        <w:rPr>
          <w:rFonts w:ascii="Times New Roman" w:hAnsi="Times New Roman"/>
          <w:color w:val="000000"/>
          <w:sz w:val="24"/>
          <w:u w:val="single"/>
        </w:rPr>
        <w:t>Severability</w:t>
      </w:r>
      <w:r>
        <w:rPr>
          <w:rFonts w:ascii="Times New Roman" w:hAnsi="Times New Roman"/>
          <w:color w:val="000000"/>
          <w:sz w:val="24"/>
        </w:rPr>
        <w:t>. The invalidity of any one or more of the words, phrases, sentences, clauses or sections contained in this Agreement shall not affect the enforceability of the remaining portions of this Agreement or any part hereof. If any part of this Agreement shall be declared invalid by a court of competent jurisdiction, this Agreement shall be construed as if such invalid part had not been inserted.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6.12.</w:t>
      </w:r>
    </w:p>
    <w:p>
      <w:pPr>
        <w:pStyle w:val="TextBody"/>
        <w:bidi w:val="0"/>
        <w:spacing w:before="240" w:after="283"/>
        <w:jc w:val="left"/>
        <w:rPr/>
      </w:pPr>
      <w:r>
        <w:rPr>
          <w:rFonts w:ascii="Times New Roman" w:hAnsi="Times New Roman"/>
          <w:color w:val="000000"/>
          <w:sz w:val="24"/>
          <w:u w:val="single"/>
        </w:rPr>
        <w:t>Section Headings</w:t>
      </w:r>
      <w:r>
        <w:rPr>
          <w:rFonts w:ascii="Times New Roman" w:hAnsi="Times New Roman"/>
          <w:color w:val="000000"/>
          <w:sz w:val="24"/>
        </w:rPr>
        <w:t>. The section and subsection headings contained in this Agreement are for reference purposes only and shall not affect any way the meaning, construction or interpretation of any or all of the provisions of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6.13.</w:t>
      </w:r>
    </w:p>
    <w:p>
      <w:pPr>
        <w:pStyle w:val="TextBody"/>
        <w:bidi w:val="0"/>
        <w:spacing w:before="240" w:after="283"/>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and by the separate parties hereto in separate counterparts, each of which shall be deemed to constitute an original and all of which shall be deemed to be one and the same instrument.</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6.14.</w:t>
      </w:r>
    </w:p>
    <w:p>
      <w:pPr>
        <w:pStyle w:val="TextBody"/>
        <w:bidi w:val="0"/>
        <w:spacing w:before="240" w:after="240"/>
        <w:jc w:val="left"/>
        <w:rPr/>
      </w:pPr>
      <w:r>
        <w:rPr>
          <w:rFonts w:ascii="Times New Roman" w:hAnsi="Times New Roman"/>
          <w:color w:val="000000"/>
          <w:sz w:val="24"/>
          <w:u w:val="single"/>
        </w:rPr>
        <w:t>Authority to Execute</w:t>
      </w:r>
      <w:r>
        <w:rPr>
          <w:rFonts w:ascii="Times New Roman" w:hAnsi="Times New Roman"/>
          <w:color w:val="000000"/>
          <w:sz w:val="24"/>
        </w:rPr>
        <w:t>. The undersigned representative of the Company represents and warrants that he has full power and authority to enter into this Agreement on behalf of the Company, and that the execution, delivery and performance of this Agreement have been authorized by the Board. Upon the Executive's acceptance of this Agreement by signing and returning it to the Company, this Agreement will become binding upon the Executive and the Company.</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480"/>
        <w:jc w:val="left"/>
        <w:rPr>
          <w:rFonts w:ascii="Times New Roman" w:hAnsi="Times New Roman"/>
          <w:color w:val="000000"/>
          <w:sz w:val="24"/>
        </w:rPr>
      </w:pPr>
      <w:r>
        <w:rPr>
          <w:rFonts w:ascii="Times New Roman" w:hAnsi="Times New Roman"/>
          <w:color w:val="000000"/>
          <w:sz w:val="24"/>
        </w:rPr>
        <w:t>IN WITNESS WHEREOF, the parties have executed this Agreement as of the day and year first written above.</w:t>
      </w:r>
    </w:p>
    <w:p>
      <w:pPr>
        <w:pStyle w:val="TextBody"/>
        <w:bidi w:val="0"/>
        <w:spacing w:before="240" w:after="480"/>
        <w:jc w:val="left"/>
        <w:rPr/>
      </w:pPr>
      <w:r>
        <w:rPr/>
        <w:t> </w:t>
      </w:r>
    </w:p>
    <w:tbl>
      <w:tblPr>
        <w:tblW w:w="4486" w:type="dxa"/>
        <w:jc w:val="left"/>
        <w:tblInd w:w="0" w:type="dxa"/>
        <w:tblLayout w:type="fixed"/>
        <w:tblCellMar>
          <w:top w:w="28" w:type="dxa"/>
          <w:left w:w="28" w:type="dxa"/>
          <w:bottom w:w="28" w:type="dxa"/>
          <w:right w:w="28" w:type="dxa"/>
        </w:tblCellMar>
      </w:tblPr>
      <w:tblGrid>
        <w:gridCol w:w="1969"/>
        <w:gridCol w:w="146"/>
        <w:gridCol w:w="2371"/>
      </w:tblGrid>
      <w:tr>
        <w:trPr/>
        <w:tc>
          <w:tcPr>
            <w:tcW w:w="1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9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AWARE, INC.</w:t>
            </w:r>
          </w:p>
        </w:tc>
      </w:tr>
      <w:tr>
        <w:trPr/>
        <w:tc>
          <w:tcPr>
            <w:tcW w:w="1969" w:type="dxa"/>
            <w:tcBorders/>
            <w:tcMar>
              <w:top w:w="0" w:type="dxa"/>
              <w:left w:w="0" w:type="dxa"/>
              <w:bottom w:w="0" w:type="dxa"/>
              <w:right w:w="0" w:type="dxa"/>
            </w:tcMar>
            <w:vAlign w:val="center"/>
          </w:tcPr>
          <w:p>
            <w:pPr>
              <w:pStyle w:val="TableContents"/>
              <w:bidi w:val="0"/>
              <w:ind w:left="0" w:right="0" w:firstLine="108"/>
              <w:jc w:val="left"/>
              <w:rPr/>
            </w:pPr>
            <w:r>
              <w:rPr/>
              <w:t> </w:t>
            </w:r>
          </w:p>
          <w:p>
            <w:pPr>
              <w:pStyle w:val="TableContents"/>
              <w:bidi w:val="0"/>
              <w:ind w:left="0" w:right="0" w:firstLine="108"/>
              <w:jc w:val="left"/>
              <w:rPr>
                <w:rFonts w:ascii="Times New Roman" w:hAnsi="Times New Roman"/>
                <w:color w:val="000000"/>
                <w:sz w:val="24"/>
              </w:rPr>
            </w:pPr>
            <w:r>
              <w:rPr>
                <w:rFonts w:ascii="Times New Roman" w:hAnsi="Times New Roman"/>
                <w:color w:val="000000"/>
                <w:sz w:val="24"/>
              </w:rPr>
              <w:t>/s/ David Traverse</w:t>
            </w:r>
          </w:p>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David Traverse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/s/ Robert Eckel</w:t>
            </w:r>
          </w:p>
          <w:p>
            <w:pPr>
              <w:pStyle w:val="TableContents"/>
              <w:bidi w:val="0"/>
              <w:jc w:val="left"/>
              <w:rPr>
                <w:rFonts w:ascii="Times New Roman" w:hAnsi="Times New Roman"/>
                <w:color w:val="000000"/>
                <w:sz w:val="24"/>
              </w:rPr>
            </w:pPr>
            <w:r>
              <w:rPr>
                <w:rFonts w:ascii="Times New Roman" w:hAnsi="Times New Roman"/>
                <w:color w:val="000000"/>
                <w:sz w:val="24"/>
              </w:rPr>
              <w:t>Title: CEO &amp; President</w:t>
            </w:r>
          </w:p>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rFonts w:ascii="Times New Roman" w:hAnsi="Times New Roman"/>
          <w:color w:val="000000"/>
          <w:sz w:val="24"/>
        </w:rPr>
      </w:pPr>
      <w:r>
        <w:rPr>
          <w:rFonts w:ascii="Times New Roman" w:hAnsi="Times New Roman"/>
          <w:color w:val="000000"/>
          <w:sz w:val="24"/>
        </w:rPr>
        <w:t>NONCOMPETE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NONCOMPETE AGREEMENT (the "</w:t>
      </w:r>
      <w:r>
        <w:rPr>
          <w:rFonts w:ascii="Times New Roman" w:hAnsi="Times New Roman"/>
          <w:color w:val="000000"/>
          <w:sz w:val="24"/>
          <w:u w:val="single"/>
        </w:rPr>
        <w:t>AGREEMENT</w:t>
      </w:r>
      <w:r>
        <w:rPr>
          <w:rFonts w:ascii="Times New Roman" w:hAnsi="Times New Roman"/>
          <w:color w:val="000000"/>
          <w:sz w:val="24"/>
        </w:rPr>
        <w:t>"), made as of the [ ] day of [ ], 202</w:t>
      </w:r>
      <w:r>
        <w:rPr>
          <w:rFonts w:ascii="Times New Roman" w:hAnsi="Times New Roman"/>
          <w:color w:val="000000"/>
          <w:sz w:val="20"/>
          <w:u w:val="single"/>
        </w:rPr>
        <w:t xml:space="preserve"> </w:t>
      </w:r>
      <w:r>
        <w:rPr>
          <w:rFonts w:ascii="Times New Roman" w:hAnsi="Times New Roman"/>
          <w:color w:val="000000"/>
          <w:sz w:val="24"/>
        </w:rPr>
        <w:t>, is entered into between Aware, Inc., a Massachusetts corporation with offices at 76 Blanchard Road, Burlington, Massachusetts 01803 (the "</w:t>
      </w:r>
      <w:r>
        <w:rPr>
          <w:rFonts w:ascii="Times New Roman" w:hAnsi="Times New Roman"/>
          <w:color w:val="000000"/>
          <w:sz w:val="24"/>
          <w:u w:val="single"/>
        </w:rPr>
        <w:t>Company</w:t>
      </w:r>
      <w:r>
        <w:rPr>
          <w:rFonts w:ascii="Times New Roman" w:hAnsi="Times New Roman"/>
          <w:color w:val="000000"/>
          <w:sz w:val="24"/>
        </w:rPr>
        <w:t>") and David Traverse an individual residing at 108 Adams Street, Dunstable, MA 01827 (the "</w:t>
      </w:r>
      <w:r>
        <w:rPr>
          <w:rFonts w:ascii="Times New Roman" w:hAnsi="Times New Roman"/>
          <w:color w:val="000000"/>
          <w:sz w:val="24"/>
          <w:u w:val="single"/>
        </w:rPr>
        <w:t>Employee</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RECITALS: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The Company is willing to grant certain severance and other benefits to the Employee, under the circumstances specified in that certain Employment Agreement dated [ ], 202_ between the Company and the Employee (the “</w:t>
      </w:r>
      <w:r>
        <w:rPr>
          <w:rFonts w:ascii="Times New Roman" w:hAnsi="Times New Roman"/>
          <w:color w:val="000000"/>
          <w:sz w:val="24"/>
          <w:u w:val="single"/>
        </w:rPr>
        <w:t>Employment Agreement</w:t>
      </w:r>
      <w:r>
        <w:rPr>
          <w:rFonts w:ascii="Times New Roman" w:hAnsi="Times New Roman"/>
          <w:color w:val="000000"/>
          <w:sz w:val="20"/>
        </w:rPr>
        <w:t>”</w:t>
      </w:r>
      <w:r>
        <w:rPr>
          <w:rFonts w:ascii="Times New Roman" w:hAnsi="Times New Roman"/>
          <w:color w:val="000000"/>
          <w:sz w:val="24"/>
        </w:rPr>
        <w:t>);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As set forth in the Employment Agreement, the Employee's execution of this Agreement is a condition to his receipt of such benefits;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NOW, THEREFORE, in consideration of the mutual covenants and promises contained herein, and other good and valuable consideration, the receipt and sufficiency of which are hereby acknowledged, the parties hereto agree as follows:</w:t>
      </w:r>
    </w:p>
    <w:p>
      <w:pPr>
        <w:pStyle w:val="TextBody"/>
        <w:bidi w:val="0"/>
        <w:jc w:val="left"/>
        <w:rPr/>
      </w:pPr>
      <w:r>
        <w:rPr/>
        <w:t> </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1.</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NON-COMPETITION COVENANTS.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NON-COMPETITION COVENANTS. The Employee agrees that he will not, during the Non-Competition Period (as hereinafter defined), directly or indirectly: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owner, employee, officer, director, partner, sales representative, agent, stockholder, capital investor, lessor, consultant or advisor, either alone or in association with others (other than as a holder of not more than one percent of the outstanding shares of any series or class of securities of a company, which securities of such class or series are publicly traded in the securities markets), develop, design, produce, market, sell or render (or assist any other person or entity in developing, designing, producing, marketing, selling or rendering), products or services which are competitive with the Business of the Company (as hereinafter defined) anywhere in the world;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solicit, divert or take away, or attempt to solicit, divert or take away, the business or patronage of any of the customers, prospective customers or referral sources of the Company with whom the Company has had a relationship during the period of the Employee's employment by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recruit, solicit or hire any employee of the Company, or induce or attempt to induce any employee of the Company to terminate his or her employment with, or otherwise cease his or her relationship with, the Company.</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DEFINITIONS. For the purposes of this Section 1, the following terms shall have the respective meanings indicated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"NON-COMPETITION PERIOD" shall mean the period during which the Employee is employed by the Company and the one-year period commencing on the last day of the Employee's employment by the Company, regardless of whether the Employee's termination was at the election of the Company, with or without cause, or at the election of the Employee, with or without good reason.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"BUSINESS OF THE COMPANY" shall mean the development, manufacture, marketing and/or distribution of (A) biometric technologies or wavelet compression technologies or (B) any other products or services which the Company sells, has under development or which are subject to active planning at any time during the term of the Employee's employment with the Company.</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2.</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INJUNCTIVE AND OTHER EQUITABLE RELIEF.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Employee consents and agrees that if he violates any of the provisions of Section 1 hereof, the Company shall be entitled, in addition to any other remedies it may have at law, to the remedies of injunction, specific performance and other equitable relief for a breach by the Employee of Section 1 of this Agreement. This Section 2(a) shall not, however, be construed as a waiver of any of the rights which the Company may have for damages or otherwise.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waiver by the Company of a breach of any provision of Section 1 hereof shall not operate or be construed as a waiver of any subsequent breach of such provision or any other provision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Employee agrees that each provision of Section 1 shall be treated as a separate and independent clause, and the unenforceability of any one clause shall in no way impair the enforceability of the other clauses herein. Moreover, if one or more of the provisions contained in Section 1 shall for any reason be held to be excessively broad as to scope, activity or subject so as to be unenforceable at law, such provision or provisions shall be construed by the appropriate judicial body by limiting and reducing it or them so as to be enforceable to the maximum extent compatible with the applicable law as it shall then appear.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Company shall prevail in any action, suit or other proceeding (whether at law, in equity or otherwise) instituted concerning or arising out of this Agreement, it shall recover, in addition to any other remedy granted to it therein, all its costs and reasonable attorneys’ fees incurred in connection with the prosecution or defense of such action, suit or other proceeding.</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3.</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 xml:space="preserve">OTHER AGREEMENTS.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Employee represents and warrants that his performance of all the terms of this Agreement and as an employee of the Company does not and will not breach any other agreement by which he is bound.</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4.</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NOT A CONTRACT OF EMPLOYMENT.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Employee understands that this Agreement does not constitute a contract of employment or give the Employee rights to employment or continued employment by the Company.</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5.</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ENTIRE AGREEMENT.</w:t>
      </w:r>
    </w:p>
    <w:p>
      <w:pPr>
        <w:pStyle w:val="TextBody"/>
        <w:bidi w:val="0"/>
        <w:spacing w:before="0" w:after="240"/>
        <w:jc w:val="left"/>
        <w:rPr>
          <w:rFonts w:ascii="Times New Roman" w:hAnsi="Times New Roman"/>
          <w:sz w:val="20"/>
        </w:rPr>
      </w:pPr>
      <w:r>
        <w:rPr>
          <w:rFonts w:ascii="Times New Roman" w:hAnsi="Times New Roman"/>
          <w:color w:val="000000"/>
          <w:sz w:val="24"/>
        </w:rPr>
        <w:t>This Agreement constitutes the entire agreement between the parties and supersedes all prior agreements and understandings, whether written or oral, relating to the subject matter of this Agreement. In particular, this Agreement supersedes Section 10 of the Employee Agreement, but the rest of the Employee Agreement remains in full force and effect.</w:t>
      </w:r>
      <w:r>
        <w:rPr>
          <w:rFonts w:ascii="Times New Roman" w:hAnsi="Times New Roman"/>
          <w:color w:val="000000"/>
          <w:sz w:val="20"/>
        </w:rPr>
        <w:t xml:space="preserve"> </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6.</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AMENDMENT.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may be amended or modified only by a written instrument executed by both the Company and the Employee.</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7.</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GOVERNING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be construed, interpreted and enforced in accordance with the laws of The Commonwealth of Massachusetts, without regard to its choice of law principles. The Employee hereby consents to (a) service of process, and to be sued, in The Commonwealth of Massachusetts and (b) to the jurisdiction of the courts of The Commonwealth of Massachusetts and the United States District Court for the District of Massachusetts, as well as to the jurisdiction of all courts to which an appeal may be taken from such courts, for the purpose of any suit, action or other proceeding arising out of any of Employee's obligations hereunder, and Employee expressly waives any and all objections he or she may have as to venue in any such courts.</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8.</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SUCCESSORS AND ASSIGNS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Employee are personal and shall not be assigned by him.</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9.</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MISCELLANEOUS.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captions of the sections of this Agreement are for convenience of reference only and in no way define, limit or affect the scope or substance of any section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be interpreted in such a manner as to be effective and valid under applicable law, but if any 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pStyle w:val="TextBody"/>
        <w:bidi w:val="0"/>
        <w:jc w:val="left"/>
        <w:rPr>
          <w:rFonts w:ascii="Times New Roman" w:hAnsi="Times New Roman"/>
          <w:color w:val="000000"/>
          <w:sz w:val="24"/>
        </w:rPr>
      </w:pPr>
      <w:r>
        <w:rPr>
          <w:rFonts w:ascii="Times New Roman" w:hAnsi="Times New Roman"/>
          <w:color w:val="000000"/>
          <w:sz w:val="24"/>
        </w:rPr>
        <w:t>IN WITNESS WHEREOF, the parties hereto have executed this Agreement as</w:t>
      </w:r>
    </w:p>
    <w:p>
      <w:pPr>
        <w:pStyle w:val="TextBody"/>
        <w:bidi w:val="0"/>
        <w:jc w:val="left"/>
        <w:rPr>
          <w:rFonts w:ascii="Times New Roman" w:hAnsi="Times New Roman"/>
          <w:color w:val="000000"/>
          <w:sz w:val="24"/>
        </w:rPr>
      </w:pPr>
      <w:r>
        <w:rPr>
          <w:rFonts w:ascii="Times New Roman" w:hAnsi="Times New Roman"/>
          <w:color w:val="000000"/>
          <w:sz w:val="24"/>
        </w:rPr>
        <w:t>of the day and year set forth above.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AWARE, INC.</w:t>
      </w:r>
    </w:p>
    <w:p>
      <w:pPr>
        <w:pStyle w:val="TextBody"/>
        <w:bidi w:val="0"/>
        <w:spacing w:before="120" w:after="283"/>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br/>
      </w:r>
      <w:r>
        <w:rPr>
          <w:rFonts w:ascii="Times New Roman" w:hAnsi="Times New Roman"/>
          <w:color w:val="000000"/>
          <w:sz w:val="24"/>
        </w:rPr>
        <w:t>Name:</w:t>
        <w:br/>
        <w:t>Title: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EMPLOYEE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br/>
      </w:r>
      <w:r>
        <w:rPr>
          <w:rFonts w:ascii="Times New Roman" w:hAnsi="Times New Roman"/>
          <w:color w:val="000000"/>
          <w:sz w:val="24"/>
        </w:rPr>
        <w:t>NAME</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GENERAL RELEASE AND WAIVER OF ALL CLAIMS</w:t>
        <w:br/>
        <w:t>(INCLUDING OLDER WORKER BENEFITS PROTECTION ACT CLAIMS)</w:t>
      </w:r>
    </w:p>
    <w:p>
      <w:pPr>
        <w:pStyle w:val="TextBody"/>
        <w:bidi w:val="0"/>
        <w:spacing w:before="240" w:after="283"/>
        <w:jc w:val="left"/>
        <w:rPr>
          <w:rFonts w:ascii="Times New Roman" w:hAnsi="Times New Roman"/>
          <w:sz w:val="20"/>
        </w:rPr>
      </w:pPr>
      <w:r>
        <w:rPr>
          <w:rFonts w:ascii="Times New Roman" w:hAnsi="Times New Roman"/>
          <w:color w:val="000000"/>
          <w:sz w:val="24"/>
        </w:rPr>
        <w:t>For good and valuable consideration, including without limitation the compensation and benefits set forth in the Employment Agreement dated [ ], 202</w:t>
      </w:r>
      <w:r>
        <w:rPr>
          <w:rFonts w:ascii="Times New Roman" w:hAnsi="Times New Roman"/>
          <w:color w:val="000000"/>
          <w:sz w:val="20"/>
          <w:u w:val="single"/>
        </w:rPr>
        <w:t xml:space="preserve"> </w:t>
      </w:r>
      <w:r>
        <w:rPr>
          <w:rFonts w:ascii="Times New Roman" w:hAnsi="Times New Roman"/>
          <w:color w:val="000000"/>
          <w:sz w:val="24"/>
        </w:rPr>
        <w:t>(the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between the undersigned and Aware,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to which this General Release and Waiver of All Claims is attached, the terms of which Agreement shall survive this General Release and Waiver of Claims, the undersigned, on behalf of and for himself or herself and his or her heirs, administrators, executors, representatives, estates, attorneys, insurers, successors and assigns (hereafter referred to separately and collectively as the “</w:t>
      </w:r>
      <w:r>
        <w:rPr>
          <w:rFonts w:ascii="Times New Roman" w:hAnsi="Times New Roman"/>
          <w:color w:val="000000"/>
          <w:sz w:val="24"/>
          <w:u w:val="single"/>
        </w:rPr>
        <w:t>Releasor</w:t>
      </w:r>
      <w:r>
        <w:rPr>
          <w:rFonts w:ascii="Times New Roman" w:hAnsi="Times New Roman"/>
          <w:color w:val="000000"/>
          <w:sz w:val="20"/>
        </w:rPr>
        <w:t>”</w:t>
      </w:r>
      <w:r>
        <w:rPr>
          <w:rFonts w:ascii="Times New Roman" w:hAnsi="Times New Roman"/>
          <w:color w:val="000000"/>
          <w:sz w:val="24"/>
        </w:rPr>
        <w:t>), hereby voluntarily releases and forever discharges the Company, and its subsidiaries (direct and indirect), affiliates, related companies, divisions, predecessor and successor companies, and each of its and their present, former, and future shareholders, officers, directors, employees, agents, representatives, attorneys, insurers and assigns (collectively as “</w:t>
      </w:r>
      <w:r>
        <w:rPr>
          <w:rFonts w:ascii="Times New Roman" w:hAnsi="Times New Roman"/>
          <w:color w:val="000000"/>
          <w:sz w:val="24"/>
          <w:u w:val="single"/>
        </w:rPr>
        <w:t>Releasees</w:t>
      </w:r>
      <w:r>
        <w:rPr>
          <w:rFonts w:ascii="Times New Roman" w:hAnsi="Times New Roman"/>
          <w:color w:val="000000"/>
          <w:sz w:val="20"/>
        </w:rPr>
        <w:t>”</w:t>
      </w:r>
      <w:r>
        <w:rPr>
          <w:rFonts w:ascii="Times New Roman" w:hAnsi="Times New Roman"/>
          <w:color w:val="000000"/>
          <w:sz w:val="24"/>
        </w:rPr>
        <w:t>), jointly and individually, from any and all actions, causes of action, claims, suits, charges, complaints, contracts, covenants, agreements, promises, debts, accounts, damages, losses, sums of money, obligations, demands, and judgments all of any kind whatsoever, known or unknown, at law or in equity, in tort, contract, by statute, or on any other basis, for contractual, compensatory, punitive or other damages, expenses (including attorney’s fees and cost), reimbursements, or costs of any kind, which the undersigned employee ever had, now has, or may have, from the beginning of the world to the date of this Release, known or unknown, in law or equity, whether statutory or common law, whether federal, state, local or otherwise, including but not limited to any and all claims arising out of or in any way related to the undersigned’s engagement by the Company (including the hiring or termination of that engagement), or any related matters including, but not limited to claims, if any arising under the Age Discrimination in Employment Act of 1967, as amended by the Older Worker Benefits Protection Act; the Civil Rights Act of 1964, as amended; the Civil Rights Act of 1991, as amended; the Family and Medical Leave Act of 1993, as amended; the Immigration Reform and Control Act of 1986; the Americans with Disabilities Act of 1990, as amended; the Employee Retirement Income Security Act (ERISA), as amended; the Massachusetts laws against discrimination and harassment (including Mass. Gen. L. c. 151B), protecting equal rights or concerning the payment of wages (including Mass. Gen. L. c. 149, section 148 et seq. and Mass. Gen. L. c. 151, section 1A, et seq.), and federal, state or local common law, laws, statutes, ordinances or regulations. Notwithstanding the foregoing, nothing contained in this General Release and Waiver of Claims shall be construed to bar any claim by the undersigned to enforce the terms of the Agreement.</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Releasor represents and acknowledges the following:</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that Releasor understands the various claims Releasor could have asserted under federal or state law, including but not limited to the Age Discrimination in Employment Act, Mass. Gen. L. c. 151B, the Massachusetts Wage Act and Massachusetts overtime pay law and other similar laws;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has read this General Release carefully and understands all of its provisions;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understands that Releasor has the right to and is advised to consult an attorney concerning this General Release and in particular the waiver of rights Releasor might have under the laws described herein and that to the extent, if any, that Releasor desired, Releasor availed himself or herself of this right;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has been provided at least twenty-one (21) days to consider whether to sign this General Release and that to the extent Releasor has signed this General Release before the expiration of such twenty-one (21) day period Releasor has done so knowingly and willingly;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w:t>
      </w:r>
    </w:p>
    <w:p>
      <w:pPr>
        <w:pStyle w:val="TextBody"/>
        <w:bidi w:val="0"/>
        <w:jc w:val="left"/>
        <w:rPr>
          <w:rFonts w:ascii="Times New Roman" w:hAnsi="Times New Roman"/>
          <w:color w:val="000000"/>
          <w:sz w:val="24"/>
        </w:rPr>
      </w:pPr>
      <w:r>
        <w:rPr>
          <w:rFonts w:ascii="Times New Roman" w:hAnsi="Times New Roman"/>
          <w:color w:val="000000"/>
          <w:sz w:val="24"/>
        </w:rPr>
        <w:t xml:space="preserve">that Releasor enters into this General Release and waives any claims knowingly and willingly; and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w:t>
      </w:r>
    </w:p>
    <w:p>
      <w:pPr>
        <w:pStyle w:val="TextBody"/>
        <w:bidi w:val="0"/>
        <w:jc w:val="left"/>
        <w:rPr>
          <w:rFonts w:ascii="Times New Roman" w:hAnsi="Times New Roman"/>
          <w:color w:val="000000"/>
          <w:sz w:val="24"/>
        </w:rPr>
      </w:pPr>
      <w:r>
        <w:rPr>
          <w:rFonts w:ascii="Times New Roman" w:hAnsi="Times New Roman"/>
          <w:color w:val="000000"/>
          <w:sz w:val="24"/>
        </w:rPr>
        <w:t>that this General Release shall become effective seven (7) business days after it is signed. Releasor may revoke this General Release within seven (7) business days after it is signed by delivering a written notice of rescission to Chair, Compensation Committee of the Board of Directors at Aware, Inc., 76 Blanchard Road, Burlington Massachusetts 01830. To be effective, the notice of rescission must be hand delivered, or postmarked within the seven (7) business day period and sent by certified mail, return receipt requested, to the referenced address.</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Signed and sealed this ____ day of _____________, 20___.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Signed: __________________________</w:t>
      </w:r>
    </w:p>
    <w:p>
      <w:pPr>
        <w:pStyle w:val="TextBody"/>
        <w:bidi w:val="0"/>
        <w:spacing w:before="240" w:after="283"/>
        <w:jc w:val="left"/>
        <w:rPr>
          <w:rFonts w:ascii="Times New Roman" w:hAnsi="Times New Roman"/>
          <w:sz w:val="20"/>
        </w:rPr>
      </w:pPr>
      <w:r>
        <w:rPr>
          <w:rFonts w:ascii="Times New Roman" w:hAnsi="Times New Roman"/>
          <w:color w:val="000000"/>
          <w:sz w:val="24"/>
        </w:rPr>
        <w:t>Name (print): ___________________________</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wre-ex10_19.htm"/>
      <w:bookmarkStart w:id="31" w:name="ksawreex10_19"/>
      <w:bookmarkEnd w:id="30"/>
      <w:bookmarkEnd w:id="31"/>
      <w:r>
        <w:rPr/>
        <w:t> </w:t>
      </w:r>
      <w:r>
        <w:br w:type="page"/>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NONSTATUTORY STOCK OPTION AGREEMENT</w:t>
        <w:br/>
        <w:t xml:space="preserve">UNDER THE AWARE, INC. </w:t>
        <w:br/>
        <w:t>2023 EQUITY AND INCENTIVE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Name of Optionee: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of Option Shares: </w:t>
      </w:r>
    </w:p>
    <w:p>
      <w:pPr>
        <w:pStyle w:val="TextBody"/>
        <w:bidi w:val="0"/>
        <w:jc w:val="left"/>
        <w:rPr>
          <w:rFonts w:ascii="Times New Roman" w:hAnsi="Times New Roman"/>
          <w:color w:val="000000"/>
          <w:sz w:val="24"/>
        </w:rPr>
      </w:pPr>
      <w:r>
        <w:rPr>
          <w:rFonts w:ascii="Times New Roman" w:hAnsi="Times New Roman"/>
          <w:color w:val="000000"/>
          <w:sz w:val="24"/>
        </w:rPr>
        <w:t>Option Exercise Price per Share: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 xml:space="preserve">Grant Date: </w:t>
      </w:r>
    </w:p>
    <w:p>
      <w:pPr>
        <w:pStyle w:val="TextBody"/>
        <w:bidi w:val="0"/>
        <w:jc w:val="left"/>
        <w:rPr>
          <w:rFonts w:ascii="Times New Roman" w:hAnsi="Times New Roman"/>
          <w:color w:val="000000"/>
          <w:sz w:val="24"/>
        </w:rPr>
      </w:pPr>
      <w:r>
        <w:rPr>
          <w:rFonts w:ascii="Times New Roman" w:hAnsi="Times New Roman"/>
          <w:color w:val="000000"/>
          <w:sz w:val="24"/>
        </w:rPr>
        <w:t xml:space="preserve">Expiration Date: </w:t>
      </w:r>
    </w:p>
    <w:p>
      <w:pPr>
        <w:pStyle w:val="TextBody"/>
        <w:bidi w:val="0"/>
        <w:spacing w:before="480" w:after="240"/>
        <w:jc w:val="left"/>
        <w:rPr>
          <w:rFonts w:ascii="Times New Roman" w:hAnsi="Times New Roman"/>
          <w:sz w:val="20"/>
        </w:rPr>
      </w:pPr>
      <w:r>
        <w:rPr>
          <w:rFonts w:ascii="Times New Roman" w:hAnsi="Times New Roman"/>
          <w:color w:val="000000"/>
          <w:sz w:val="24"/>
        </w:rPr>
        <w:t>Pursuant to the Aware, Inc. 2023 Equity and Incentive Plan (as amended through the date hereof,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Aware,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hereby grants to the Optionee named above an option (the “</w:t>
      </w:r>
      <w:r>
        <w:rPr>
          <w:rFonts w:ascii="Times New Roman" w:hAnsi="Times New Roman"/>
          <w:b/>
          <w:color w:val="000000"/>
          <w:sz w:val="24"/>
        </w:rPr>
        <w:t>Stock Option</w:t>
      </w:r>
      <w:r>
        <w:rPr>
          <w:rFonts w:ascii="Times New Roman" w:hAnsi="Times New Roman"/>
          <w:color w:val="000000"/>
          <w:sz w:val="20"/>
        </w:rPr>
        <w:t>”</w:t>
      </w:r>
      <w:r>
        <w:rPr>
          <w:rFonts w:ascii="Times New Roman" w:hAnsi="Times New Roman"/>
          <w:color w:val="000000"/>
          <w:sz w:val="24"/>
        </w:rPr>
        <w:t>) to purchase on or prior to the Expiration Date specified above all or part of the number of shares of common stock, par value $0.01 per share, of the Company (the “</w:t>
      </w:r>
      <w:r>
        <w:rPr>
          <w:rFonts w:ascii="Times New Roman" w:hAnsi="Times New Roman"/>
          <w:b/>
          <w:color w:val="000000"/>
          <w:sz w:val="24"/>
        </w:rPr>
        <w:t>Stock</w:t>
      </w:r>
      <w:r>
        <w:rPr>
          <w:rFonts w:ascii="Times New Roman" w:hAnsi="Times New Roman"/>
          <w:color w:val="000000"/>
          <w:sz w:val="20"/>
        </w:rPr>
        <w:t>”</w:t>
      </w:r>
      <w:r>
        <w:rPr>
          <w:rFonts w:ascii="Times New Roman" w:hAnsi="Times New Roman"/>
          <w:color w:val="000000"/>
          <w:sz w:val="24"/>
        </w:rPr>
        <w:t>) specified above at the Option Exercise Price per Share specified above, subject to the terms and conditions set forth herein and in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Vesting Schedule</w:t>
      </w:r>
      <w:r>
        <w:rPr>
          <w:rFonts w:ascii="Times New Roman" w:hAnsi="Times New Roman"/>
          <w:color w:val="000000"/>
          <w:sz w:val="24"/>
        </w:rPr>
        <w:t xml:space="preserve">. No portion of this Stock Option may be exercised until such portion shall have vested. Vesting is contingent on (a) the Optionee remaining in a Service Relationship (as defined in the Plan) on December 31, 202[●] and (b) the achievement of the performance metrics for 2026 described below, as determined by the Compensation Committee of the Board of Directors of the Company. If year-over-year bookings growth for the Company in 202[●] reaches [●]%, 100% of the Option Shares shall vest. If year-over-year bookings growth for the Company in 202[●] is [●]% or lower, none of the Option Shares shall vest and the Stock Option will be forfeited. Partial vesting shall occur for bookings growth of the Company in 2026 between [●]% and [●]%, with [●]% of the Option Shares vesting at [●]% growth, [●]% vesting at [●]% growth, [●]% vesting at [●]% growth, and [●]% vesting at [●]% growth.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vested and exercisable, this Stock Option shall continue to be exercisable at any time or times prior to the close of business on the Expiration Date, subject to the provisions hereof and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Manner of Exercise</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From time to time on or prior to the Expiration Date of this Stock Option, the Optionee may exercise this Stock Option by giving written notice to the Administrator of the Optionee’s election to purchase some or all of the Option Shares exercisable at the time of such notice. This notice shall specify the number of Option Shares to be purchased.</w:t>
      </w:r>
    </w:p>
    <w:p>
      <w:pPr>
        <w:pStyle w:val="TextBody"/>
        <w:bidi w:val="0"/>
        <w:spacing w:before="0" w:after="240"/>
        <w:jc w:val="left"/>
        <w:rPr>
          <w:rFonts w:ascii="Times New Roman" w:hAnsi="Times New Roman"/>
          <w:sz w:val="20"/>
        </w:rPr>
      </w:pPr>
      <w:r>
        <w:rPr>
          <w:rFonts w:ascii="Times New Roman" w:hAnsi="Times New Roman"/>
          <w:color w:val="000000"/>
          <w:sz w:val="24"/>
        </w:rPr>
        <w:t>Payment of the Option Exercise Price for the Option Shares may be made by one or more of the following methods: (i) in cash or by certified or bank check or other instrument acceptable to the Administrator; (ii) through the delivery (or attestation to the ownership) of</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shall prescribe as a condition of such payment procedure; (iv) with the consent of the Administrator, by a “net exercise” arrangement pursuant to which the Company will reduce the number of shares of Stock issuable upon exercise by the largest whole number of shares with a Fair Market Value that does not exceed the Option Exercise Price (and the Optionee shall make a cash payment equal to the difference between the Fair Market Value of such shares and the Option Exercise Price); or (v) a combination of (i), (ii), (iii) and (iv) above. Payment instruments will be received subject to collection.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transfer to the Optionee on the records of the Company or of the transfer agent of the Option Shares will be contingent upon (i) the Company’s receipt from the Optionee of the full Option Exercise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Option Exercise Price by previously-owned shares of Stock through the attestation method, the number of shares of Stock transferred to the Optionee upon the exercise of the Stock Option shall be net of the Shares attested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 other provision hereof or of the Plan, no portion of this Stock Option shall be exercisable after the Expiration Date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Termination of Service Relationship</w:t>
      </w:r>
      <w:r>
        <w:rPr>
          <w:rFonts w:ascii="Times New Roman" w:hAnsi="Times New Roman"/>
          <w:color w:val="000000"/>
          <w:sz w:val="24"/>
        </w:rPr>
        <w:t>. If the Optionee’s Service Relationship is terminated, the period within which to exercise this Stock Option may be subject to earlier termination as set forth below.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Termination Due to Death</w:t>
      </w:r>
      <w:r>
        <w:rPr>
          <w:rFonts w:ascii="Times New Roman" w:hAnsi="Times New Roman"/>
          <w:color w:val="000000"/>
          <w:sz w:val="24"/>
        </w:rPr>
        <w:t>.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Termination Due to Disability</w:t>
      </w:r>
      <w:r>
        <w:rPr>
          <w:rFonts w:ascii="Times New Roman" w:hAnsi="Times New Roman"/>
          <w:color w:val="000000"/>
          <w:sz w:val="24"/>
        </w:rPr>
        <w:t>. If the Optionee’s Service Relationship terminates by reason of the Optionee’s Disability, any portion of this Stock Option outstanding on such date, to the extent exercisable on the date of such termination, may thereafter be exercised by the Optionee for a period of 12 months from the date of termination due to Disability or until the Expiration Date, if earlier. For purposes hereof, “</w:t>
      </w:r>
      <w:r>
        <w:rPr>
          <w:rFonts w:ascii="Times New Roman" w:hAnsi="Times New Roman"/>
          <w:b/>
          <w:color w:val="000000"/>
          <w:sz w:val="24"/>
        </w:rPr>
        <w:t>Disability</w:t>
      </w:r>
      <w:r>
        <w:rPr>
          <w:color w:val="000000"/>
        </w:rPr>
        <w:t xml:space="preserve">” </w:t>
      </w:r>
      <w:r>
        <w:rPr>
          <w:rFonts w:ascii="Times New Roman" w:hAnsi="Times New Roman"/>
          <w:color w:val="000000"/>
          <w:sz w:val="24"/>
        </w:rPr>
        <w:t>shall mean that the Optionee is unable to engage in any substantial gainful activity by reason of any medically determinable physical or mental impairment which can be expected to last for a continuous period of not less than 12 months, and shall be determined in accordance with Section 22(e)(3) of the Code. Any portion of this Stock Option that is not exercisable on the date of termination due to Disability shall terminate immediately and be of no further force or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Termination for Cause</w:t>
      </w:r>
      <w:r>
        <w:rPr>
          <w:rFonts w:ascii="Times New Roman" w:hAnsi="Times New Roman"/>
          <w:color w:val="000000"/>
          <w:sz w:val="24"/>
        </w:rPr>
        <w:t>. If the Optionee’s Service Relationship terminates for Cause, any portion of this Stock Option outstanding on such date shall terminate immediately and be of no further force and effect. For purposes hereof, “</w:t>
      </w:r>
      <w:r>
        <w:rPr>
          <w:rFonts w:ascii="Times New Roman" w:hAnsi="Times New Roman"/>
          <w:b/>
          <w:color w:val="000000"/>
          <w:sz w:val="24"/>
        </w:rPr>
        <w:t>Cause</w:t>
      </w:r>
      <w:r>
        <w:rPr>
          <w:color w:val="000000"/>
        </w:rPr>
        <w:t xml:space="preserve">” </w:t>
      </w:r>
      <w:r>
        <w:rPr>
          <w:rFonts w:ascii="Times New Roman" w:hAnsi="Times New Roman"/>
          <w:color w:val="000000"/>
          <w:sz w:val="24"/>
        </w:rPr>
        <w:t>shall mean, unless otherwise provided in an employment or service agreement between the Company or a Subsidiary and the Optionee, (i) any material breach by the Optionee of any agreement between the Optionee and the Company or a Subsidiary; (ii) the conviction of, indictment for or plea of nolo contendere by the Optionee to a felony or a crime involving moral turpitude; or (iii) any material misconduct or willful and deliberate non-performance by the Optionee of the Optionee’s duties to the Company or a Subsidiary.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Other Termination</w:t>
      </w:r>
      <w:r>
        <w:rPr>
          <w:rFonts w:ascii="Times New Roman" w:hAnsi="Times New Roman"/>
          <w:color w:val="000000"/>
          <w:sz w:val="24"/>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Administrator’s determination of the reason for termination of the Optionee’s Service Relationship shall be conclusive and binding on the Optionee and the Optionee’s representatives or legatees.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Incorporation of Plan</w:t>
      </w:r>
      <w:r>
        <w:rPr>
          <w:rFonts w:ascii="Times New Roman" w:hAnsi="Times New Roman"/>
          <w:color w:val="000000"/>
          <w:sz w:val="24"/>
        </w:rPr>
        <w:t xml:space="preserve">. Notwithstanding anything herein to the contrary, this Agreement shall be subject to and governed by all the terms and conditions of the Plan, including the powers of the Administrator set forth in Section 3(b) of the Plan. In the event of any conflict between the terms hereof and those of the Plan, the latter shall prevail. Capitalized terms in this Agreement shall have the meaning specified in the Plan, unless a different meaning is specified herein.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Transferability</w:t>
      </w:r>
      <w:r>
        <w:rPr>
          <w:rFonts w:ascii="Times New Roman" w:hAnsi="Times New Roman"/>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Tax Withholding</w:t>
      </w:r>
      <w:r>
        <w:rPr>
          <w:rFonts w:ascii="Times New Roman" w:hAnsi="Times New Roman"/>
          <w:color w:val="000000"/>
          <w:sz w:val="24"/>
        </w:rPr>
        <w:t xml:space="preserve">. To the extent that withholding is required under applicable law,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any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taxable event.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No Obligation to Continue Service Relationship</w:t>
      </w:r>
      <w:r>
        <w:rPr>
          <w:rFonts w:ascii="Times New Roman" w:hAnsi="Times New Roman"/>
          <w:color w:val="000000"/>
          <w:sz w:val="24"/>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at any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Integration</w:t>
      </w:r>
      <w:r>
        <w:rPr>
          <w:rFonts w:ascii="Times New Roman" w:hAnsi="Times New Roman"/>
          <w:color w:val="000000"/>
          <w:sz w:val="24"/>
        </w:rPr>
        <w:t>. This Agreement and the Plan constitute the entire agreement between the parties with respect to this Stock Option and supersede all prior agreements and discussions between the parties concerning this Stock Option.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Data Privacy Consent</w:t>
      </w:r>
      <w:r>
        <w:rPr>
          <w:rFonts w:ascii="Times New Roman" w:hAnsi="Times New Roman"/>
          <w:color w:val="000000"/>
          <w:sz w:val="24"/>
        </w:rPr>
        <w:t>. In order to administer the Plan and this Agreement and to implement or structure future equity grants, the Company, its subsidiaries and affiliates and certain agents thereof (together, the “</w:t>
      </w:r>
      <w:r>
        <w:rPr>
          <w:rFonts w:ascii="Times New Roman" w:hAnsi="Times New Roman"/>
          <w:b/>
          <w:color w:val="000000"/>
          <w:sz w:val="24"/>
        </w:rPr>
        <w:t>Relevant Companies</w:t>
      </w:r>
      <w:r>
        <w:rPr>
          <w:color w:val="000000"/>
        </w:rPr>
        <w:t>”</w:t>
      </w:r>
      <w:r>
        <w:rPr>
          <w:rFonts w:ascii="Times New Roman" w:hAnsi="Times New Roman"/>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hAnsi="Times New Roman"/>
          <w:b/>
          <w:color w:val="000000"/>
          <w:sz w:val="24"/>
        </w:rPr>
        <w:t>Relevant Information</w:t>
      </w:r>
      <w:r>
        <w:rPr>
          <w:color w:val="000000"/>
        </w:rPr>
        <w:t>”</w:t>
      </w:r>
      <w:r>
        <w:rPr>
          <w:rFonts w:ascii="Times New Roman" w:hAnsi="Times New Roman"/>
          <w:color w:val="000000"/>
          <w:sz w:val="24"/>
        </w:rPr>
        <w:t>). By entering into this Agreement, the Optionee (i) authorizes each Relevant Company to collect, process, register and transfer to each other Relevant Company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which a Relevant Company considers appropriate. The Optionee shall have access to, and the right to change, the Relevant Information. Relevant Information will only be used in accordance with applicable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Notices</w:t>
      </w:r>
      <w:r>
        <w:rPr>
          <w:rFonts w:ascii="Times New Roman" w:hAnsi="Times New Roman"/>
          <w:color w:val="000000"/>
          <w:sz w:val="24"/>
        </w:rPr>
        <w:t xml:space="preserve">. Notices hereunder shall be mailed or delivered to the Company at its principal place of business and shall be mailed or delivered to the Optionee at the address on file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the Company or, in either case, at such other address as one party may subsequently furnish to the other party in writing.</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AWARE, INC.</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jc w:val="left"/>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Optionee’s Signature</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Optionee’s name and address:</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Address: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bookmarkStart w:id="32" w:name="awre-ex19_1.htm"/>
      <w:bookmarkStart w:id="33" w:name="ksawreex19_1"/>
      <w:bookmarkEnd w:id="32"/>
      <w:bookmarkEnd w:id="33"/>
      <w:r>
        <w:rPr>
          <w:rFonts w:ascii="Times New Roman" w:hAnsi="Times New Roman"/>
          <w:b/>
          <w:color w:val="000000"/>
          <w:sz w:val="24"/>
        </w:rPr>
        <w:t>AWARE, INC.</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INSIDER TRADING COMPLIANCE POLICY</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Adopted October 27, 2020</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CONTENTS</w:t>
      </w:r>
    </w:p>
    <w:p>
      <w:pPr>
        <w:pStyle w:val="TextBody"/>
        <w:bidi w:val="0"/>
        <w:jc w:val="center"/>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Page</w:t>
      </w:r>
    </w:p>
    <w:p>
      <w:pPr>
        <w:pStyle w:val="TextBody"/>
        <w:bidi w:val="0"/>
        <w:jc w:val="right"/>
        <w:rPr/>
      </w:pPr>
      <w:r>
        <w:rPr/>
        <w:t> </w:t>
      </w:r>
    </w:p>
    <w:tbl>
      <w:tblPr>
        <w:tblW w:w="9813" w:type="dxa"/>
        <w:jc w:val="left"/>
        <w:tblInd w:w="0" w:type="dxa"/>
        <w:tblLayout w:type="fixed"/>
        <w:tblCellMar>
          <w:top w:w="28" w:type="dxa"/>
          <w:left w:w="28" w:type="dxa"/>
          <w:bottom w:w="28" w:type="dxa"/>
          <w:right w:w="28" w:type="dxa"/>
        </w:tblCellMar>
      </w:tblPr>
      <w:tblGrid>
        <w:gridCol w:w="1231"/>
        <w:gridCol w:w="7471"/>
        <w:gridCol w:w="1111"/>
      </w:tblGrid>
      <w:tr>
        <w:trPr/>
        <w:tc>
          <w:tcPr>
            <w:tcW w:w="1231"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w:t>
            </w:r>
          </w:p>
        </w:tc>
        <w:tc>
          <w:tcPr>
            <w:tcW w:w="7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SUMMARY</w:t>
            </w:r>
          </w:p>
        </w:tc>
        <w:tc>
          <w:tcPr>
            <w:tcW w:w="111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1</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II.</w:t>
            </w:r>
          </w:p>
        </w:tc>
        <w:tc>
          <w:tcPr>
            <w:tcW w:w="7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STATEMENT OF POLICIES PROHIBITING INSIDER TRADING</w:t>
            </w:r>
          </w:p>
        </w:tc>
        <w:tc>
          <w:tcPr>
            <w:tcW w:w="111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1</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III.</w:t>
            </w:r>
          </w:p>
        </w:tc>
        <w:tc>
          <w:tcPr>
            <w:tcW w:w="7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EXPLANATION OF INSIDER TRADING</w:t>
            </w:r>
          </w:p>
        </w:tc>
        <w:tc>
          <w:tcPr>
            <w:tcW w:w="111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2</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IV.</w:t>
            </w:r>
          </w:p>
        </w:tc>
        <w:tc>
          <w:tcPr>
            <w:tcW w:w="7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STATEMENT OF PROCEDURES PREVENTING INSIDER TRADING</w:t>
            </w:r>
          </w:p>
        </w:tc>
        <w:tc>
          <w:tcPr>
            <w:tcW w:w="111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6</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V.</w:t>
            </w:r>
          </w:p>
        </w:tc>
        <w:tc>
          <w:tcPr>
            <w:tcW w:w="7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ADDITIONAL PROHIBITED TRANSACTIONS</w:t>
            </w:r>
          </w:p>
        </w:tc>
        <w:tc>
          <w:tcPr>
            <w:tcW w:w="111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9</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VI.</w:t>
            </w:r>
          </w:p>
        </w:tc>
        <w:tc>
          <w:tcPr>
            <w:tcW w:w="7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RULE 10b5-1 TRADING PLANS, SECTION 16 AND RULE 144</w:t>
            </w:r>
          </w:p>
        </w:tc>
        <w:tc>
          <w:tcPr>
            <w:tcW w:w="111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right"/>
              <w:rPr>
                <w:rFonts w:ascii="Times New Roman" w:hAnsi="Times New Roman"/>
                <w:color w:val="000000"/>
                <w:sz w:val="24"/>
              </w:rPr>
            </w:pPr>
            <w:r>
              <w:rPr>
                <w:rFonts w:ascii="Times New Roman" w:hAnsi="Times New Roman"/>
                <w:color w:val="000000"/>
                <w:sz w:val="24"/>
              </w:rPr>
              <w:t>11</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VII.</w:t>
            </w:r>
          </w:p>
        </w:tc>
        <w:tc>
          <w:tcPr>
            <w:tcW w:w="7471"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EXECUTION AND RETURN OF CERTIFICATION OF COMPLIANCE</w:t>
            </w:r>
          </w:p>
        </w:tc>
        <w:tc>
          <w:tcPr>
            <w:tcW w:w="1111"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4"/>
              </w:rPr>
            </w:pPr>
            <w:r>
              <w:rPr>
                <w:rFonts w:ascii="Times New Roman" w:hAnsi="Times New Roman"/>
                <w:color w:val="000000"/>
                <w:sz w:val="24"/>
              </w:rPr>
              <w:t>17</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ATTACHMENT A - SHORT-SWING PROFIT RULE SECTION 16(B) CHECKLIST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ATTACHMENT B - CERTIFICATION OF COMPLIANCE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AWARE, INC.</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INSIDER TRADING COMPLIANCE POLICY</w:t>
      </w:r>
    </w:p>
    <w:p>
      <w:pPr>
        <w:pStyle w:val="TextBody"/>
        <w:bidi w:val="0"/>
        <w:jc w:val="center"/>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I. SUMMARY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Preventing insider trading is necessary to comply with securities laws and to preserve the reputation and integrity Aware, Inc. (together with its subsidiaries, the “Company”)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criminal fines of up to $5 million for individuals and $25 million for corporations. Insider trading is also prohibited by this Amended and Restated Insider Trading Compliance Policy (this “Policy”), and violation of this Policy may result in Company-imposed sanctions, including removal or dismissal for cause.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Chief Compliance Officer.</w:t>
      </w:r>
    </w:p>
    <w:p>
      <w:pPr>
        <w:pStyle w:val="TextBody"/>
        <w:bidi w:val="0"/>
        <w:spacing w:before="0" w:after="240"/>
        <w:jc w:val="left"/>
        <w:rPr>
          <w:rFonts w:ascii="Times New Roman" w:hAnsi="Times New Roman"/>
          <w:sz w:val="20"/>
        </w:rPr>
      </w:pPr>
      <w:r>
        <w:rPr>
          <w:rFonts w:ascii="Times New Roman" w:hAnsi="Times New Roman"/>
          <w:b/>
          <w:color w:val="000000"/>
          <w:sz w:val="24"/>
        </w:rPr>
        <w:t>II. STATEMENT OF POLICIES PROHIBITING INSIDER TRADING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No officer, director or employee shall purchase or sell any type of security while in possession of material, non-public information relating to the security, whether the issuer of such security is the Company or any other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Additionally, no officer, director or employee shall purchase or sell any security of the Company during any blackout period (as defined in Section IV.B below) or other trading suspension initiated by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These prohibitions do not apply to:</w:t>
      </w:r>
    </w:p>
    <w:p>
      <w:pPr>
        <w:pStyle w:val="TextBody"/>
        <w:bidi w:val="0"/>
        <w:spacing w:before="0" w:after="240"/>
        <w:jc w:val="left"/>
        <w:rPr/>
      </w:pPr>
      <w:r>
        <w:rPr>
          <w:color w:val="000000"/>
        </w:rPr>
        <w:t xml:space="preserve"> </w:t>
      </w:r>
      <w:r>
        <w:rPr>
          <w:rFonts w:ascii="Times New Roman" w:hAnsi="Times New Roman"/>
          <w:color w:val="000000"/>
          <w:sz w:val="24"/>
        </w:rPr>
        <w:t>purchases of the Company’s securities from the Company or sales of the Company’s securities to the Company;</w:t>
      </w:r>
    </w:p>
    <w:p>
      <w:pPr>
        <w:pStyle w:val="TextBody"/>
        <w:bidi w:val="0"/>
        <w:spacing w:before="0" w:after="240"/>
        <w:jc w:val="left"/>
        <w:rPr/>
      </w:pPr>
      <w:r>
        <w:rPr>
          <w:color w:val="000000"/>
        </w:rPr>
        <w:t xml:space="preserve"> </w:t>
      </w:r>
      <w:r>
        <w:rPr>
          <w:rFonts w:ascii="Times New Roman" w:hAnsi="Times New Roman"/>
          <w:color w:val="000000"/>
          <w:sz w:val="24"/>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hAnsi="Times New Roman"/>
          <w:color w:val="000000"/>
          <w:sz w:val="24"/>
          <w:u w:val="single"/>
        </w:rPr>
        <w:t>does</w:t>
      </w:r>
      <w:r>
        <w:rPr>
          <w:rFonts w:ascii="Times New Roman" w:hAnsi="Times New Roman"/>
          <w:color w:val="000000"/>
          <w:sz w:val="20"/>
        </w:rPr>
        <w:t xml:space="preserve"> </w:t>
      </w:r>
      <w:r>
        <w:rPr>
          <w:rFonts w:ascii="Times New Roman" w:hAnsi="Times New Roman"/>
          <w:color w:val="000000"/>
          <w:sz w:val="24"/>
        </w:rPr>
        <w:t>involve a market sale of the Company’s securities, and therefore would not qualify under this exception);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 xml:space="preserve"> </w:t>
      </w:r>
      <w:r>
        <w:rPr>
          <w:rFonts w:ascii="Times New Roman" w:hAnsi="Times New Roman"/>
          <w:i/>
          <w:color w:val="000000"/>
          <w:sz w:val="24"/>
        </w:rPr>
        <w:t xml:space="preserve">bona fide </w:t>
      </w:r>
      <w:r>
        <w:rPr>
          <w:rFonts w:ascii="Times New Roman" w:hAnsi="Times New Roman"/>
          <w:color w:val="000000"/>
          <w:sz w:val="24"/>
        </w:rPr>
        <w:t>gifts of the Company’s securities; or</w:t>
      </w:r>
    </w:p>
    <w:p>
      <w:pPr>
        <w:pStyle w:val="TextBody"/>
        <w:bidi w:val="0"/>
        <w:spacing w:before="0" w:after="240"/>
        <w:jc w:val="left"/>
        <w:rPr/>
      </w:pPr>
      <w:r>
        <w:rPr>
          <w:color w:val="000000"/>
        </w:rPr>
        <w:t xml:space="preserve"> </w:t>
      </w:r>
      <w:r>
        <w:rPr>
          <w:rFonts w:ascii="Times New Roman" w:hAnsi="Times New Roman"/>
          <w:color w:val="000000"/>
          <w:sz w:val="24"/>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(“Rule 10b5-1”) promulgated under the Securities Exchange Act of 1934, as amended (the “1934 Act”),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officer, director or employee shall directly or indirectly communicate (or “tip”) material, non-public information to anyone outside the Company (except in accordance with the Company’s policies regarding the protection or authorized external disclosure of Company information) or to anyone within the Company other than on a need-to-know basis.</w:t>
      </w:r>
    </w:p>
    <w:p>
      <w:pPr>
        <w:pStyle w:val="TextBody"/>
        <w:bidi w:val="0"/>
        <w:spacing w:before="0" w:after="240"/>
        <w:jc w:val="left"/>
        <w:rPr>
          <w:rFonts w:ascii="Times New Roman" w:hAnsi="Times New Roman"/>
          <w:sz w:val="20"/>
        </w:rPr>
      </w:pPr>
      <w:r>
        <w:rPr>
          <w:rFonts w:ascii="Times New Roman" w:hAnsi="Times New Roman"/>
          <w:b/>
          <w:color w:val="000000"/>
          <w:sz w:val="24"/>
        </w:rPr>
        <w:t>III. EXPLANATION OF INSIDER TRADING</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i/>
          <w:color w:val="000000"/>
          <w:sz w:val="24"/>
        </w:rPr>
        <w:t xml:space="preserve">Insider trading” </w:t>
      </w:r>
      <w:r>
        <w:rPr>
          <w:rFonts w:ascii="Times New Roman" w:hAnsi="Times New Roman"/>
          <w:color w:val="000000"/>
          <w:sz w:val="24"/>
        </w:rPr>
        <w:t>refers to the purchase or sale of a security while in possession of “material,” “non-public” information relating to the security.</w:t>
      </w:r>
    </w:p>
    <w:p>
      <w:pPr>
        <w:pStyle w:val="TextBody"/>
        <w:bidi w:val="0"/>
        <w:spacing w:before="0" w:after="240"/>
        <w:jc w:val="left"/>
        <w:rPr/>
      </w:pPr>
      <w:r>
        <w:rPr>
          <w:color w:val="000000"/>
        </w:rPr>
        <w:t>“</w:t>
      </w:r>
      <w:r>
        <w:rPr>
          <w:rFonts w:ascii="Times New Roman" w:hAnsi="Times New Roman"/>
          <w:i/>
          <w:color w:val="000000"/>
          <w:sz w:val="24"/>
        </w:rPr>
        <w:t xml:space="preserve">Securities” </w:t>
      </w:r>
      <w:r>
        <w:rPr>
          <w:rFonts w:ascii="Times New Roman" w:hAnsi="Times New Roman"/>
          <w:color w:val="000000"/>
          <w:sz w:val="24"/>
        </w:rPr>
        <w:t>includes stocks, bonds, notes, debentures, options, warrants and other convertible securities, as well as derivative instruments.</w:t>
      </w:r>
    </w:p>
    <w:p>
      <w:pPr>
        <w:pStyle w:val="TextBody"/>
        <w:bidi w:val="0"/>
        <w:spacing w:before="0" w:after="240"/>
        <w:jc w:val="left"/>
        <w:rPr/>
      </w:pPr>
      <w:r>
        <w:rPr>
          <w:color w:val="000000"/>
        </w:rPr>
        <w:t>“</w:t>
      </w:r>
      <w:r>
        <w:rPr>
          <w:rFonts w:ascii="Times New Roman" w:hAnsi="Times New Roman"/>
          <w:i/>
          <w:color w:val="000000"/>
          <w:sz w:val="24"/>
        </w:rPr>
        <w:t xml:space="preserve">Purchase” </w:t>
      </w:r>
      <w:r>
        <w:rPr>
          <w:rFonts w:ascii="Times New Roman" w:hAnsi="Times New Roman"/>
          <w:color w:val="000000"/>
          <w:sz w:val="24"/>
        </w:rPr>
        <w:t xml:space="preserve">and </w:t>
      </w:r>
      <w:r>
        <w:rPr>
          <w:rFonts w:ascii="Times New Roman" w:hAnsi="Times New Roman"/>
          <w:color w:val="000000"/>
          <w:sz w:val="20"/>
        </w:rPr>
        <w:t>“</w:t>
      </w:r>
      <w:r>
        <w:rPr>
          <w:rFonts w:ascii="Times New Roman" w:hAnsi="Times New Roman"/>
          <w:i/>
          <w:color w:val="000000"/>
          <w:sz w:val="24"/>
        </w:rPr>
        <w:t xml:space="preserve">sale” </w:t>
      </w:r>
      <w:r>
        <w:rPr>
          <w:rFonts w:ascii="Times New Roman" w:hAnsi="Times New Roman"/>
          <w:color w:val="000000"/>
          <w:sz w:val="24"/>
        </w:rPr>
        <w:t xml:space="preserve">are defined broadly under the federal securities law. </w:t>
      </w:r>
      <w:r>
        <w:rPr>
          <w:rFonts w:ascii="Times New Roman" w:hAnsi="Times New Roman"/>
          <w:color w:val="000000"/>
          <w:sz w:val="20"/>
        </w:rPr>
        <w:t>“</w:t>
      </w:r>
      <w:r>
        <w:rPr>
          <w:rFonts w:ascii="Times New Roman" w:hAnsi="Times New Roman"/>
          <w:i/>
          <w:color w:val="000000"/>
          <w:sz w:val="24"/>
        </w:rPr>
        <w:t xml:space="preserve">Purchase” </w:t>
      </w:r>
      <w:r>
        <w:rPr>
          <w:rFonts w:ascii="Times New Roman" w:hAnsi="Times New Roman"/>
          <w:color w:val="000000"/>
          <w:sz w:val="24"/>
        </w:rPr>
        <w:t xml:space="preserve">includes not only the actual purchase of a security, but any contract to purchase or otherwise acquire a security. </w:t>
      </w:r>
      <w:r>
        <w:rPr>
          <w:rFonts w:ascii="Times New Roman" w:hAnsi="Times New Roman"/>
          <w:color w:val="000000"/>
          <w:sz w:val="20"/>
        </w:rPr>
        <w:t>“</w:t>
      </w:r>
      <w:r>
        <w:rPr>
          <w:rFonts w:ascii="Times New Roman" w:hAnsi="Times New Roman"/>
          <w:i/>
          <w:color w:val="000000"/>
          <w:sz w:val="24"/>
        </w:rPr>
        <w:t xml:space="preserve">Sale” </w:t>
      </w:r>
      <w:r>
        <w:rPr>
          <w:rFonts w:ascii="Times New Roman" w:hAnsi="Times New Roman"/>
          <w:color w:val="000000"/>
          <w:sz w:val="24"/>
        </w:rPr>
        <w:t>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 is generally understood that insider trading includes the following:</w:t>
      </w:r>
    </w:p>
    <w:p>
      <w:pPr>
        <w:pStyle w:val="TextBody"/>
        <w:bidi w:val="0"/>
        <w:spacing w:before="0" w:after="240"/>
        <w:jc w:val="left"/>
        <w:rPr/>
      </w:pPr>
      <w:r>
        <w:rPr>
          <w:color w:val="000000"/>
        </w:rPr>
        <w:t xml:space="preserve"> </w:t>
      </w:r>
      <w:r>
        <w:rPr>
          <w:rFonts w:ascii="Times New Roman" w:hAnsi="Times New Roman"/>
          <w:color w:val="000000"/>
          <w:sz w:val="24"/>
        </w:rPr>
        <w:t>Trading by insiders while in possession of material, non-public information;</w:t>
      </w:r>
    </w:p>
    <w:p>
      <w:pPr>
        <w:pStyle w:val="TextBody"/>
        <w:bidi w:val="0"/>
        <w:spacing w:before="0" w:after="240"/>
        <w:jc w:val="left"/>
        <w:rPr/>
      </w:pPr>
      <w:r>
        <w:rPr>
          <w:color w:val="000000"/>
        </w:rPr>
        <w:t xml:space="preserve"> </w:t>
      </w:r>
      <w:r>
        <w:rPr>
          <w:rFonts w:ascii="Times New Roman" w:hAnsi="Times New Roman"/>
          <w:color w:val="000000"/>
          <w:sz w:val="24"/>
        </w:rPr>
        <w:t>Trading by persons other than insiders while in possession of material, non-public information, if the information either was given in breach of an insider’s fiduciary duty to keep it confidential or was misappropriated; and</w:t>
      </w:r>
    </w:p>
    <w:p>
      <w:pPr>
        <w:pStyle w:val="TextBody"/>
        <w:bidi w:val="0"/>
        <w:spacing w:before="0" w:after="240"/>
        <w:jc w:val="left"/>
        <w:rPr/>
      </w:pPr>
      <w:r>
        <w:rPr>
          <w:color w:val="000000"/>
        </w:rPr>
        <w:t xml:space="preserve"> </w:t>
      </w:r>
      <w:r>
        <w:rPr>
          <w:rFonts w:ascii="Times New Roman" w:hAnsi="Times New Roman"/>
          <w:color w:val="000000"/>
          <w:sz w:val="24"/>
        </w:rPr>
        <w:t>Communicating or tipping material, non-public information to others, including recommending the purchase or sale of a security while in possession of such information.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What Facts are Material?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Examples of material information include (but are not limited to) information about dividends; corporate earnings or earnings forecasts; possible mergers, acquisitions, tender offers or dispositions; major new service offerings; important business developments such as major contracts or cancellation of major contracts, trial results, developments regarding strategic collaborators or the status of regulatory submissions; management or control changes;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good general rule of thumb: When in doubt, do not trade.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What is Non-public?</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hAnsi="Times New Roman"/>
          <w:color w:val="000000"/>
          <w:sz w:val="24"/>
          <w:u w:val="single"/>
        </w:rPr>
        <w:t>Dow Jones</w:t>
      </w:r>
      <w:r>
        <w:rPr>
          <w:rFonts w:ascii="Times New Roman" w:hAnsi="Times New Roman"/>
          <w:color w:val="000000"/>
          <w:sz w:val="24"/>
        </w:rPr>
        <w:t xml:space="preserve">, </w:t>
      </w:r>
      <w:r>
        <w:rPr>
          <w:rFonts w:ascii="Times New Roman" w:hAnsi="Times New Roman"/>
          <w:color w:val="000000"/>
          <w:sz w:val="24"/>
          <w:u w:val="single"/>
        </w:rPr>
        <w:t>Business Wire</w:t>
      </w:r>
      <w:r>
        <w:rPr>
          <w:rFonts w:ascii="Times New Roman" w:hAnsi="Times New Roman"/>
          <w:color w:val="000000"/>
          <w:sz w:val="24"/>
        </w:rPr>
        <w:t xml:space="preserve">, </w:t>
      </w:r>
      <w:r>
        <w:rPr>
          <w:rFonts w:ascii="Times New Roman" w:hAnsi="Times New Roman"/>
          <w:color w:val="000000"/>
          <w:sz w:val="24"/>
          <w:u w:val="single"/>
        </w:rPr>
        <w:t>Reuters</w:t>
      </w:r>
      <w:r>
        <w:rPr>
          <w:rFonts w:ascii="Times New Roman" w:hAnsi="Times New Roman"/>
          <w:color w:val="000000"/>
          <w:sz w:val="24"/>
        </w:rPr>
        <w:t xml:space="preserve">, </w:t>
      </w:r>
      <w:r>
        <w:rPr>
          <w:rFonts w:ascii="Times New Roman" w:hAnsi="Times New Roman"/>
          <w:color w:val="000000"/>
          <w:sz w:val="24"/>
          <w:u w:val="single"/>
        </w:rPr>
        <w:t>The Wall Street Journal</w:t>
      </w:r>
      <w:r>
        <w:rPr>
          <w:rFonts w:ascii="Times New Roman" w:hAnsi="Times New Roman"/>
          <w:color w:val="000000"/>
          <w:sz w:val="24"/>
        </w:rPr>
        <w:t xml:space="preserve">, </w:t>
      </w:r>
      <w:r>
        <w:rPr>
          <w:rFonts w:ascii="Times New Roman" w:hAnsi="Times New Roman"/>
          <w:color w:val="000000"/>
          <w:sz w:val="24"/>
          <w:u w:val="single"/>
        </w:rPr>
        <w:t>Associated Press</w:t>
      </w:r>
      <w:r>
        <w:rPr>
          <w:rFonts w:ascii="Times New Roman" w:hAnsi="Times New Roman"/>
          <w:color w:val="000000"/>
          <w:sz w:val="24"/>
        </w:rPr>
        <w:t xml:space="preserve">, or </w:t>
      </w:r>
      <w:r>
        <w:rPr>
          <w:rFonts w:ascii="Times New Roman" w:hAnsi="Times New Roman"/>
          <w:color w:val="000000"/>
          <w:sz w:val="24"/>
          <w:u w:val="single"/>
        </w:rPr>
        <w:t>United Press International,</w:t>
      </w:r>
      <w:r>
        <w:rPr>
          <w:rFonts w:ascii="Times New Roman" w:hAnsi="Times New Roman"/>
          <w:color w:val="000000"/>
          <w:sz w:val="20"/>
        </w:rPr>
        <w:t xml:space="preserve"> </w:t>
      </w:r>
      <w:r>
        <w:rPr>
          <w:rFonts w:ascii="Times New Roman" w:hAnsi="Times New Roman"/>
          <w:color w:val="000000"/>
          <w:sz w:val="24"/>
        </w:rPr>
        <w:t>a broadcast on widely available radio or television programs, publication in a widely available newspaper, magazine or news web site, a Regulation FD-compliant conference call, or public disclosure documents filed with the SEC that are available on the SEC’s web site.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one full trading day following publication as a reasonable waiting period before such information is deemed to be public. For the purposes of this Policy, a “trading day” is a day on which national stock exchanges are open for trading.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Who is an Insider?</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rPr>
        <w:t>Insiders” include officers, directors and employees of a company and anyone else who has material inside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Officers, directors and employees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disclosure of Company information) or to anyone within the Company other than on a need-to-know basis.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Trading by Persons Other than Insiders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Penalties for Engaging in Insider Trading</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Penalties for trading on or tipping material, non-public information can extend significantly beyond any profits made or losses avoided, both for individuals engaging in such unlawful conduct and their employers. The Securities and Exchange Commission (“SEC”) and Department of Justice have made the civil and criminal prosecution of insider trading violations a top priority. Enforcement remedies available to the government or private plaintiffs under the federal securities laws include:</w:t>
      </w:r>
    </w:p>
    <w:p>
      <w:pPr>
        <w:pStyle w:val="TextBody"/>
        <w:bidi w:val="0"/>
        <w:spacing w:before="0" w:after="240"/>
        <w:jc w:val="left"/>
        <w:rPr/>
      </w:pPr>
      <w:r>
        <w:rPr>
          <w:color w:val="000000"/>
        </w:rPr>
        <w:t xml:space="preserve"> </w:t>
      </w:r>
      <w:r>
        <w:rPr>
          <w:rFonts w:ascii="Times New Roman" w:hAnsi="Times New Roman"/>
          <w:color w:val="000000"/>
          <w:sz w:val="24"/>
        </w:rPr>
        <w:t>SEC administrative sanctions;</w:t>
      </w:r>
    </w:p>
    <w:p>
      <w:pPr>
        <w:pStyle w:val="TextBody"/>
        <w:bidi w:val="0"/>
        <w:spacing w:before="0" w:after="240"/>
        <w:jc w:val="left"/>
        <w:rPr/>
      </w:pPr>
      <w:r>
        <w:rPr>
          <w:color w:val="000000"/>
        </w:rPr>
        <w:t xml:space="preserve"> </w:t>
      </w:r>
      <w:r>
        <w:rPr>
          <w:rFonts w:ascii="Times New Roman" w:hAnsi="Times New Roman"/>
          <w:color w:val="000000"/>
          <w:sz w:val="24"/>
        </w:rPr>
        <w:t>Securities industry self-regulatory organization sanctions;</w:t>
      </w:r>
    </w:p>
    <w:p>
      <w:pPr>
        <w:pStyle w:val="TextBody"/>
        <w:bidi w:val="0"/>
        <w:spacing w:before="0" w:after="240"/>
        <w:jc w:val="left"/>
        <w:rPr/>
      </w:pPr>
      <w:r>
        <w:rPr>
          <w:color w:val="000000"/>
        </w:rPr>
        <w:t xml:space="preserve"> </w:t>
      </w:r>
      <w:r>
        <w:rPr>
          <w:rFonts w:ascii="Times New Roman" w:hAnsi="Times New Roman"/>
          <w:color w:val="000000"/>
          <w:sz w:val="24"/>
        </w:rPr>
        <w:t>Civil injunctions;</w:t>
      </w:r>
    </w:p>
    <w:p>
      <w:pPr>
        <w:pStyle w:val="TextBody"/>
        <w:bidi w:val="0"/>
        <w:spacing w:before="0" w:after="240"/>
        <w:jc w:val="left"/>
        <w:rPr/>
      </w:pPr>
      <w:r>
        <w:rPr>
          <w:color w:val="000000"/>
        </w:rPr>
        <w:t xml:space="preserve"> </w:t>
      </w:r>
      <w:r>
        <w:rPr>
          <w:rFonts w:ascii="Times New Roman" w:hAnsi="Times New Roman"/>
          <w:color w:val="000000"/>
          <w:sz w:val="24"/>
        </w:rPr>
        <w:t>Damage awards to private plaintiffs;</w:t>
      </w:r>
    </w:p>
    <w:p>
      <w:pPr>
        <w:pStyle w:val="TextBody"/>
        <w:bidi w:val="0"/>
        <w:spacing w:before="0" w:after="240"/>
        <w:jc w:val="left"/>
        <w:rPr/>
      </w:pPr>
      <w:r>
        <w:rPr>
          <w:color w:val="000000"/>
        </w:rPr>
        <w:t xml:space="preserve"> </w:t>
      </w:r>
      <w:r>
        <w:rPr>
          <w:rFonts w:ascii="Times New Roman" w:hAnsi="Times New Roman"/>
          <w:color w:val="000000"/>
          <w:sz w:val="24"/>
        </w:rPr>
        <w:t>Disgorgement of all profits;</w:t>
      </w:r>
    </w:p>
    <w:p>
      <w:pPr>
        <w:pStyle w:val="TextBody"/>
        <w:bidi w:val="0"/>
        <w:spacing w:before="0" w:after="240"/>
        <w:jc w:val="left"/>
        <w:rPr/>
      </w:pPr>
      <w:r>
        <w:rPr>
          <w:color w:val="000000"/>
        </w:rPr>
        <w:t xml:space="preserve"> </w:t>
      </w:r>
      <w:r>
        <w:rPr>
          <w:rFonts w:ascii="Times New Roman" w:hAnsi="Times New Roman"/>
          <w:color w:val="000000"/>
          <w:sz w:val="24"/>
        </w:rPr>
        <w:t>Civil fines for the violator of up to three times the amount of profit gained or loss avoided;</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 xml:space="preserve"> </w:t>
      </w:r>
      <w:r>
        <w:rPr>
          <w:rFonts w:ascii="Times New Roman" w:hAnsi="Times New Roman"/>
          <w:color w:val="000000"/>
          <w:sz w:val="24"/>
        </w:rPr>
        <w:t>Civil fines for the employer or other controlling person of a violator (i.e., where the violator is an employee or other controlled person) of up to the greater of $1,425,000 or three times the amount of profit gained or loss avoided by the violator;</w:t>
      </w:r>
    </w:p>
    <w:p>
      <w:pPr>
        <w:pStyle w:val="TextBody"/>
        <w:bidi w:val="0"/>
        <w:spacing w:before="0" w:after="240"/>
        <w:jc w:val="left"/>
        <w:rPr/>
      </w:pPr>
      <w:r>
        <w:rPr>
          <w:color w:val="000000"/>
        </w:rPr>
        <w:t xml:space="preserve"> </w:t>
      </w:r>
      <w:r>
        <w:rPr>
          <w:rFonts w:ascii="Times New Roman" w:hAnsi="Times New Roman"/>
          <w:color w:val="000000"/>
          <w:sz w:val="24"/>
        </w:rPr>
        <w:t>Criminal fines for individual violators of up to $5,000,000 ($25,000,000 for an entity); and</w:t>
      </w:r>
    </w:p>
    <w:p>
      <w:pPr>
        <w:pStyle w:val="TextBody"/>
        <w:bidi w:val="0"/>
        <w:spacing w:before="0" w:after="240"/>
        <w:jc w:val="left"/>
        <w:rPr/>
      </w:pPr>
      <w:r>
        <w:rPr>
          <w:color w:val="000000"/>
        </w:rPr>
        <w:t xml:space="preserve"> </w:t>
      </w:r>
      <w:r>
        <w:rPr>
          <w:rFonts w:ascii="Times New Roman" w:hAnsi="Times New Roman"/>
          <w:color w:val="000000"/>
          <w:sz w:val="24"/>
        </w:rPr>
        <w:t>Jail sentences of up to 20 years.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Size of Transaction and Reason for Transaction Do Not Matter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size of the transaction or the amount of profit received does not have to be significant to result in prosecution. The SEC has the ability to monitor even the smallest trades, and the SEC performs routine market surveillance. Brokers or dealers are required by law to inform the SEC of any possible violations by people who may have material, non-public information. The SEC aggressively investigates even small insider trading violations.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Examples of Insider Trading</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Examples of insider trading cases include actions brought against corporate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following are illustrations of insider trading violations. These illustrations are hypothetical and, consequently, not intended to reflect on the actual activities or business of the Company or any other entity.</w:t>
      </w:r>
    </w:p>
    <w:p>
      <w:pPr>
        <w:pStyle w:val="TextBody"/>
        <w:bidi w:val="0"/>
        <w:spacing w:before="0" w:after="240"/>
        <w:jc w:val="left"/>
        <w:rPr>
          <w:rFonts w:ascii="Times New Roman" w:hAnsi="Times New Roman"/>
          <w:sz w:val="20"/>
        </w:rPr>
      </w:pPr>
      <w:r>
        <w:rPr>
          <w:rFonts w:ascii="Times New Roman" w:hAnsi="Times New Roman"/>
          <w:color w:val="000000"/>
          <w:sz w:val="24"/>
          <w:u w:val="single"/>
        </w:rPr>
        <w:t>Trading by Insider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Trading by Tippee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Prohibition of Records Falsification and False Statements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pStyle w:val="TextBody"/>
        <w:bidi w:val="0"/>
        <w:spacing w:before="0" w:after="240"/>
        <w:jc w:val="left"/>
        <w:rPr>
          <w:rFonts w:ascii="Times New Roman" w:hAnsi="Times New Roman"/>
          <w:sz w:val="20"/>
        </w:rPr>
      </w:pPr>
      <w:r>
        <w:rPr>
          <w:rFonts w:ascii="Times New Roman" w:hAnsi="Times New Roman"/>
          <w:b/>
          <w:color w:val="000000"/>
          <w:sz w:val="24"/>
        </w:rPr>
        <w:t>IV. STATEMENT OF PROCEDURES PREVENTING INSIDER TRADING</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following procedures have been established, and will be maintained and enforced, by the Company to prevent insider trading. Every officer, director and employee is required to follow these procedures.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Pre-Clearance of All Trades by All Officers, Directors and Certain Employees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provide assistance in preventing inadvertent violations of applicable securities laws and to avoid the appearance of impropriety in connection with the purchase and sale of the Company’s securities, all transactions in the Company’s securities (including without limitation, acquisitions and dispositions of Company stock, the exercise of stock options and the sale of Company stock issued upon exercise of stock options) by officers and directors (each, a “Pre-Clearance Person”) must be pre-cleared by the Company’s Chief Compliance Officer. Pre-clearance does not relieve anyone of his or her responsibility under SEC rules.</w:t>
      </w:r>
    </w:p>
    <w:p>
      <w:pPr>
        <w:pStyle w:val="TextBody"/>
        <w:bidi w:val="0"/>
        <w:spacing w:before="0" w:after="240"/>
        <w:jc w:val="left"/>
        <w:rPr>
          <w:rFonts w:ascii="Times New Roman" w:hAnsi="Times New Roman"/>
          <w:sz w:val="20"/>
        </w:rPr>
      </w:pPr>
      <w:r>
        <w:rPr>
          <w:rFonts w:ascii="Times New Roman" w:hAnsi="Times New Roman"/>
          <w:color w:val="000000"/>
          <w:sz w:val="24"/>
        </w:rPr>
        <w:t>A request for pre-clearance may be oral or in writing (including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other securities to be involved. The Chief Compliance Officer shall have sole discretion to decide whether to clear any contemplated transaction. (The Chief Executive Officer shall have sole discretion to decide whether to clear transactions by the Chief Compliance Officer or persons or entities subject to this policy as a result of their relationship with the Chief Compliance Officer.) All trades that are pre-cleared must be effected within five business days of receipt of the pre-clearance unless a specific exception has been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granted by the Chief Compliance Officer or the Chief Executive Officer, as applicable.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None of the Company, the Chief Compliance Officer, the Chief Executive Officer or the Company’s other employees will have any liability for any delay in reviewing, or refusal of, a request for pre-clearance submitted pursuant to this Section IV.A. Notwithstanding any pre-clearance of a transaction pursuant to this Section IV.A, none of the Company, the Chief Compliance Officer, the Chief Executive Officer or the Company’s other employees assumes any liability for the legality or consequences of such transaction to the person engaging in such transaction.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Black-Out Periods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Additionally, no officer, director or employee shall purchase or sell any security of the Company during the period beginning on the 14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calendar day before the end of any fiscal quarter of the Company and ending upon completion of the second full trading day after the public release of earnings data for such fiscal quarter or during any other trading suspension period declared by the Company (any such period, a “blackout period”), except for:</w:t>
      </w:r>
    </w:p>
    <w:p>
      <w:pPr>
        <w:pStyle w:val="TextBody"/>
        <w:bidi w:val="0"/>
        <w:spacing w:before="0" w:after="240"/>
        <w:jc w:val="left"/>
        <w:rPr/>
      </w:pPr>
      <w:r>
        <w:rPr>
          <w:color w:val="000000"/>
        </w:rPr>
        <w:t xml:space="preserve"> </w:t>
      </w:r>
      <w:r>
        <w:rPr>
          <w:rFonts w:ascii="Times New Roman" w:hAnsi="Times New Roman"/>
          <w:color w:val="000000"/>
          <w:sz w:val="24"/>
        </w:rPr>
        <w:t>purchases of the Company’s securities from the Company or sales of the Company’s securities to the Company;</w:t>
      </w:r>
    </w:p>
    <w:p>
      <w:pPr>
        <w:pStyle w:val="TextBody"/>
        <w:bidi w:val="0"/>
        <w:spacing w:before="0" w:after="240"/>
        <w:jc w:val="left"/>
        <w:rPr/>
      </w:pPr>
      <w:r>
        <w:rPr>
          <w:color w:val="000000"/>
        </w:rPr>
        <w:t xml:space="preserve"> </w:t>
      </w:r>
      <w:r>
        <w:rPr>
          <w:rFonts w:ascii="Times New Roman" w:hAnsi="Times New Roman"/>
          <w:color w:val="000000"/>
          <w:sz w:val="24"/>
        </w:rPr>
        <w:t xml:space="preserve">exercises of stock options or other equity awards the surrender of shares to the Company in payment of the exercise price or in satisfaction of any tax withholding obligations in a manner permitted by the applicable equity award agreement, or vesting of equity-based awards that do not involve a market sale of the Company’s securities (the “cashless exercise” of a Company stock option through a broker </w:t>
      </w:r>
      <w:r>
        <w:rPr>
          <w:rFonts w:ascii="Times New Roman" w:hAnsi="Times New Roman"/>
          <w:color w:val="000000"/>
          <w:sz w:val="24"/>
          <w:u w:val="single"/>
        </w:rPr>
        <w:t>does</w:t>
      </w:r>
      <w:r>
        <w:rPr>
          <w:rFonts w:ascii="Times New Roman" w:hAnsi="Times New Roman"/>
          <w:color w:val="000000"/>
          <w:sz w:val="20"/>
        </w:rPr>
        <w:t xml:space="preserve"> </w:t>
      </w:r>
      <w:r>
        <w:rPr>
          <w:rFonts w:ascii="Times New Roman" w:hAnsi="Times New Roman"/>
          <w:color w:val="000000"/>
          <w:sz w:val="24"/>
        </w:rPr>
        <w:t>involve a market sale of the Company’s securities, and therefore would not qualify under this exception);</w:t>
      </w:r>
    </w:p>
    <w:p>
      <w:pPr>
        <w:pStyle w:val="TextBody"/>
        <w:bidi w:val="0"/>
        <w:spacing w:before="0" w:after="240"/>
        <w:jc w:val="left"/>
        <w:rPr/>
      </w:pPr>
      <w:r>
        <w:rPr>
          <w:color w:val="000000"/>
        </w:rPr>
        <w:t xml:space="preserve"> </w:t>
      </w:r>
      <w:r>
        <w:rPr>
          <w:rFonts w:ascii="Times New Roman" w:hAnsi="Times New Roman"/>
          <w:i/>
          <w:color w:val="000000"/>
          <w:sz w:val="24"/>
        </w:rPr>
        <w:t xml:space="preserve">bona fide </w:t>
      </w:r>
      <w:r>
        <w:rPr>
          <w:rFonts w:ascii="Times New Roman" w:hAnsi="Times New Roman"/>
          <w:color w:val="000000"/>
          <w:sz w:val="24"/>
        </w:rPr>
        <w:t>gifts of the Company’s securities; and</w:t>
      </w:r>
    </w:p>
    <w:p>
      <w:pPr>
        <w:pStyle w:val="TextBody"/>
        <w:bidi w:val="0"/>
        <w:spacing w:before="0" w:after="240"/>
        <w:jc w:val="left"/>
        <w:rPr/>
      </w:pPr>
      <w:r>
        <w:rPr>
          <w:color w:val="000000"/>
        </w:rPr>
        <w:t xml:space="preserve"> </w:t>
      </w:r>
      <w:r>
        <w:rPr>
          <w:rFonts w:ascii="Times New Roman" w:hAnsi="Times New Roman"/>
          <w:color w:val="000000"/>
          <w:sz w:val="24"/>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 pre-clearance without such amendment or modification being pre-cleared in advance pursuant to this Policy.</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Exceptions to the black-out period policy may be approved only by the Company’s Chief Compliance Officer or, in the case of exceptions for directors or the Chief Compliance Officer, the Board of Directors or Audit Committee of the Board of Directors.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From time to time, the Company, through the Board of Directors, the Company’s Chief Executive Officer, Chief Financial Officer or Chief Compliance Officer may recommend that officers, directors, employees or others suspend trading in the Company’s securities because of developments that have not yet been disclosed to the public. Subject to the exceptions noted above, all those affected should not trade in our securities while the suspension is in effect, and should not disclose to others that we have suspended trading.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Post-Termination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the exception of the pre-clearance requirement, this Policy continues to apply to transactions in the Company’s securities even after termination of service to the Company. If an individual is in possession of material, non-public information when his or her service terminates, that individual may not trade in the Company’s securities until that information has become public or is no longer material.</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Information Relating to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1. Access to Information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pStyle w:val="TextBody"/>
        <w:bidi w:val="0"/>
        <w:spacing w:before="0" w:after="240"/>
        <w:jc w:val="left"/>
        <w:rPr>
          <w:rFonts w:ascii="Times New Roman" w:hAnsi="Times New Roman"/>
          <w:sz w:val="20"/>
        </w:rPr>
      </w:pPr>
      <w:r>
        <w:rPr>
          <w:rFonts w:ascii="Times New Roman" w:hAnsi="Times New Roman"/>
          <w:color w:val="000000"/>
          <w:sz w:val="24"/>
        </w:rPr>
        <w:t>2. Inquiries From Third Parties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Inquiries from third parties, such as industry analysts or members of the media, about the Company should be directed to the Chief Executive Officer or the Chief Financial Officer at [</w:t>
      </w:r>
      <w:r>
        <w:rPr>
          <w:rFonts w:ascii="Times New Roman" w:hAnsi="Times New Roman"/>
          <w:i/>
          <w:color w:val="000000"/>
          <w:sz w:val="24"/>
        </w:rPr>
        <w:t>insert contact information, e-mail for phone</w:t>
      </w:r>
      <w:r>
        <w:rPr>
          <w:rFonts w:ascii="Times New Roman" w:hAnsi="Times New Roman"/>
          <w:color w:val="000000"/>
          <w:sz w:val="24"/>
        </w:rPr>
        <w:t>]; or to their attention at:</w:t>
      </w:r>
    </w:p>
    <w:p>
      <w:pPr>
        <w:pStyle w:val="TextBody"/>
        <w:bidi w:val="0"/>
        <w:jc w:val="left"/>
        <w:rPr>
          <w:rFonts w:ascii="Times New Roman" w:hAnsi="Times New Roman"/>
          <w:color w:val="000000"/>
          <w:sz w:val="24"/>
        </w:rPr>
      </w:pPr>
      <w:r>
        <w:rPr>
          <w:rFonts w:ascii="Times New Roman" w:hAnsi="Times New Roman"/>
          <w:color w:val="000000"/>
          <w:sz w:val="24"/>
        </w:rPr>
        <w:t>Aware, Inc.</w:t>
      </w:r>
    </w:p>
    <w:p>
      <w:pPr>
        <w:pStyle w:val="TextBody"/>
        <w:bidi w:val="0"/>
        <w:jc w:val="left"/>
        <w:rPr>
          <w:rFonts w:ascii="Times New Roman" w:hAnsi="Times New Roman"/>
          <w:color w:val="000000"/>
          <w:sz w:val="24"/>
        </w:rPr>
      </w:pPr>
      <w:r>
        <w:rPr>
          <w:rFonts w:ascii="Times New Roman" w:hAnsi="Times New Roman"/>
          <w:color w:val="000000"/>
          <w:sz w:val="24"/>
        </w:rPr>
        <w:t>40 Middlesex Turnpike</w:t>
      </w:r>
    </w:p>
    <w:p>
      <w:pPr>
        <w:pStyle w:val="TextBody"/>
        <w:bidi w:val="0"/>
        <w:jc w:val="left"/>
        <w:rPr>
          <w:rFonts w:ascii="Times New Roman" w:hAnsi="Times New Roman"/>
          <w:color w:val="000000"/>
          <w:sz w:val="24"/>
        </w:rPr>
      </w:pPr>
      <w:r>
        <w:rPr>
          <w:rFonts w:ascii="Times New Roman" w:hAnsi="Times New Roman"/>
          <w:color w:val="000000"/>
          <w:sz w:val="24"/>
        </w:rPr>
        <w:t>Bedford, Massachusetts 01730</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Limitations on Access to Company Information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following procedures are designed to maintain confidentiality with respect to the Company’s business operations and activities.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officers, directors and employees should take all steps and precautions necessary to restrict access to, and secure, material, non-public information by, among other things:</w:t>
      </w:r>
    </w:p>
    <w:p>
      <w:pPr>
        <w:pStyle w:val="TextBody"/>
        <w:bidi w:val="0"/>
        <w:spacing w:before="0" w:after="240"/>
        <w:jc w:val="left"/>
        <w:rPr/>
      </w:pPr>
      <w:r>
        <w:rPr>
          <w:color w:val="000000"/>
        </w:rPr>
        <w:t xml:space="preserve"> </w:t>
      </w:r>
      <w:r>
        <w:rPr>
          <w:rFonts w:ascii="Times New Roman" w:hAnsi="Times New Roman"/>
          <w:color w:val="000000"/>
          <w:sz w:val="24"/>
        </w:rPr>
        <w:t>Maintaining the confidentiality of Company-related transactions;</w:t>
      </w:r>
    </w:p>
    <w:p>
      <w:pPr>
        <w:pStyle w:val="TextBody"/>
        <w:bidi w:val="0"/>
        <w:spacing w:before="0" w:after="240"/>
        <w:jc w:val="left"/>
        <w:rPr/>
      </w:pPr>
      <w:r>
        <w:rPr>
          <w:color w:val="000000"/>
        </w:rPr>
        <w:t xml:space="preserve"> </w:t>
      </w:r>
      <w:r>
        <w:rPr>
          <w:rFonts w:ascii="Times New Roman" w:hAnsi="Times New Roman"/>
          <w:color w:val="000000"/>
          <w:sz w:val="24"/>
        </w:rPr>
        <w:t>Conducting their business and social activities so as not to risk inadvertent disclosure of confidential information. Review of confidential documents in public places should be conducted so as to prevent access by unauthorized persons;</w:t>
      </w:r>
    </w:p>
    <w:p>
      <w:pPr>
        <w:pStyle w:val="TextBody"/>
        <w:bidi w:val="0"/>
        <w:spacing w:before="0" w:after="240"/>
        <w:jc w:val="left"/>
        <w:rPr/>
      </w:pPr>
      <w:r>
        <w:rPr>
          <w:color w:val="000000"/>
        </w:rPr>
        <w:t xml:space="preserve"> </w:t>
      </w:r>
      <w:r>
        <w:rPr>
          <w:rFonts w:ascii="Times New Roman" w:hAnsi="Times New Roman"/>
          <w:color w:val="000000"/>
          <w:sz w:val="24"/>
        </w:rPr>
        <w:t>Restricting access to documents and files (including computer files) containing material, non-public information to individuals on a need-to-know basis (including maintaining control over the distribution of documents and drafts of documents);</w:t>
      </w:r>
    </w:p>
    <w:p>
      <w:pPr>
        <w:pStyle w:val="TextBody"/>
        <w:bidi w:val="0"/>
        <w:spacing w:before="0" w:after="240"/>
        <w:jc w:val="left"/>
        <w:rPr/>
      </w:pPr>
      <w:r>
        <w:rPr>
          <w:color w:val="000000"/>
        </w:rPr>
        <w:t xml:space="preserve"> </w:t>
      </w:r>
      <w:r>
        <w:rPr>
          <w:rFonts w:ascii="Times New Roman" w:hAnsi="Times New Roman"/>
          <w:color w:val="000000"/>
          <w:sz w:val="24"/>
        </w:rPr>
        <w:t>Promptly removing and cleaning up all confidential documents and other materials from conference rooms following the conclusion of any meetings;</w:t>
      </w:r>
    </w:p>
    <w:p>
      <w:pPr>
        <w:pStyle w:val="TextBody"/>
        <w:bidi w:val="0"/>
        <w:spacing w:before="0" w:after="240"/>
        <w:jc w:val="left"/>
        <w:rPr/>
      </w:pPr>
      <w:r>
        <w:rPr>
          <w:color w:val="000000"/>
        </w:rPr>
        <w:t xml:space="preserve"> </w:t>
      </w:r>
      <w:r>
        <w:rPr>
          <w:rFonts w:ascii="Times New Roman" w:hAnsi="Times New Roman"/>
          <w:color w:val="000000"/>
          <w:sz w:val="24"/>
        </w:rPr>
        <w:t>Disposing of all confidential documents and other papers, after there is no longer any business or other legally required need, through shredders when appropriate;</w:t>
      </w:r>
    </w:p>
    <w:p>
      <w:pPr>
        <w:pStyle w:val="TextBody"/>
        <w:bidi w:val="0"/>
        <w:spacing w:before="0" w:after="240"/>
        <w:jc w:val="left"/>
        <w:rPr/>
      </w:pPr>
      <w:r>
        <w:rPr>
          <w:color w:val="000000"/>
        </w:rPr>
        <w:t xml:space="preserve"> </w:t>
      </w:r>
      <w:r>
        <w:rPr>
          <w:rFonts w:ascii="Times New Roman" w:hAnsi="Times New Roman"/>
          <w:color w:val="000000"/>
          <w:sz w:val="24"/>
        </w:rPr>
        <w:t>Restricting access to areas likely to contain confidential documents or material, non-public information;</w:t>
      </w:r>
    </w:p>
    <w:p>
      <w:pPr>
        <w:pStyle w:val="TextBody"/>
        <w:bidi w:val="0"/>
        <w:spacing w:before="0" w:after="240"/>
        <w:jc w:val="left"/>
        <w:rPr/>
      </w:pPr>
      <w:r>
        <w:rPr>
          <w:color w:val="000000"/>
        </w:rPr>
        <w:t xml:space="preserve"> </w:t>
      </w:r>
      <w:r>
        <w:rPr>
          <w:rFonts w:ascii="Times New Roman" w:hAnsi="Times New Roman"/>
          <w:color w:val="000000"/>
          <w:sz w:val="24"/>
        </w:rPr>
        <w:t>Safeguarding laptop computers, tablets, memory sticks, CDs and other items that contain confidential information; and</w:t>
      </w:r>
    </w:p>
    <w:p>
      <w:pPr>
        <w:pStyle w:val="TextBody"/>
        <w:bidi w:val="0"/>
        <w:spacing w:before="0" w:after="240"/>
        <w:jc w:val="left"/>
        <w:rPr/>
      </w:pPr>
      <w:r>
        <w:rPr>
          <w:color w:val="000000"/>
        </w:rPr>
        <w:t xml:space="preserve"> </w:t>
      </w:r>
      <w:r>
        <w:rPr>
          <w:rFonts w:ascii="Times New Roman" w:hAnsi="Times New Roman"/>
          <w:color w:val="000000"/>
          <w:sz w:val="24"/>
        </w:rPr>
        <w:t>Avoiding the discussion of material, non-public information in places where the information could be overheard by others such as in elevators, restrooms, hallways, restaurants, airplanes or taxicabs.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Personnel involved with material, non-public information, to the extent feasible, should conduct their business and activities in areas separate from other Company activities.</w:t>
      </w:r>
    </w:p>
    <w:p>
      <w:pPr>
        <w:pStyle w:val="TextBody"/>
        <w:bidi w:val="0"/>
        <w:spacing w:before="0" w:after="240"/>
        <w:jc w:val="left"/>
        <w:rPr>
          <w:rFonts w:ascii="Times New Roman" w:hAnsi="Times New Roman"/>
          <w:sz w:val="20"/>
        </w:rPr>
      </w:pPr>
      <w:r>
        <w:rPr>
          <w:rFonts w:ascii="Times New Roman" w:hAnsi="Times New Roman"/>
          <w:b/>
          <w:color w:val="000000"/>
          <w:sz w:val="24"/>
        </w:rPr>
        <w:t>V. ADDITIONAL PROHIBITED TRANSACTIONS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Short Sales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Short sales of the Company’s securities evidence an expectation on the part of the seller that the securities will decline in value, and therefore signal to the market that the seller has no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from making short sales of the Company’s equity securities, </w:t>
      </w:r>
      <w:r>
        <w:rPr>
          <w:rFonts w:ascii="Times New Roman" w:hAnsi="Times New Roman"/>
          <w:i/>
          <w:color w:val="000000"/>
          <w:sz w:val="26"/>
        </w:rPr>
        <w:t>i.e.</w:t>
      </w:r>
      <w:r>
        <w:rPr>
          <w:rFonts w:ascii="Times New Roman" w:hAnsi="Times New Roman"/>
          <w:color w:val="000000"/>
          <w:sz w:val="24"/>
        </w:rPr>
        <w:t>, sales of shares that the insider does not own at the time of sale, or sales of shares against which the insider does not deliver the shares within 20 days after the sale.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Publicly Traded Options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transaction in options is, in effect, a bet on the short-term movement of the Company’s stock and therefore creates the appearance that an officer, director or employee is trading based on inside information. Transactions in options also may focus an officer’s, director’s or employee’s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Hedging Transactions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Certain forms of hedging or monetization transactions, such as zero-cost collars and forward sale contracts, allow an officer, director or employee to lock in much of the value of his or her stock holdings, often in exchange for all or part of the potential for upside appreciation in the stock. These transactions allow the officer, director or employee to continue to own the covered securities, but without the full risks and rewards of ownership. When that occurs, the officer, director or employee may no longer have the same objectives as the Company’s other stockholders. Therefore, such transactions involving the Company’s equity securities are prohibited by this Policy.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Purchases of the Company’s Securities on Margin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Purchasing on margin means borrowing from a brokerage firm, bank or other entity in order to purchase the Company’s securities (other than in connection with a cashless exercise of stock options under the Company’s equity plans). Margin purchases of the Company’s securities are prohibited by this Policy. This prohibition means, among other things, that you cannot hold the Company’s securities in a “margin account” (which would allow you to borrow against your holdings to buy securities).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Director and Executive Officer Cashless Exercises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and (iii) the director or officer uses a “T+2” cashless exercise arrangement, in which the Company agrees to deliver stock against the payment of the purchase price on the same day the sale of the stock underlying the equity award settles. Under a T+2 cashless exercise, a broker, the issuer, and the issuer’s transfer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 work together to make all transactions settle simultaneously. This approach is to avoid any inference that the Company has “extended credit” in the form of a personal loan to the director or executive officer. Questions about cashless exercises should be directed to the Chief Compliance Officer.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Partnership Distributions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VI. RULE 10b5-1 TRADING PLANS, SECTION 16 AND RULE 144</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Rule 10b5-1 Trading Plans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1. Overview</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Rule 10b5-1 will protect directors, officers and employees from insider trading liability under Rule 10b5 for transactions under a previously established contract, plan or instruction to trade in the Company’s stock (a “Trading Plan”) entered into in good faith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Chief Compliance Officer, or such other person as the Board of Directors may designate from time to time (the “Authorizing Officer”),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Trading Plans do not exempt individuals from complying with Section 16 short-swing profit rules or liability.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pStyle w:val="TextBody"/>
        <w:bidi w:val="0"/>
        <w:spacing w:before="0" w:after="240"/>
        <w:jc w:val="left"/>
        <w:rPr>
          <w:rFonts w:ascii="Times New Roman" w:hAnsi="Times New Roman"/>
          <w:sz w:val="20"/>
        </w:rPr>
      </w:pPr>
      <w:r>
        <w:rPr>
          <w:rFonts w:ascii="Times New Roman" w:hAnsi="Times New Roman"/>
          <w:color w:val="000000"/>
          <w:sz w:val="24"/>
        </w:rPr>
        <w:t>A director, officer or employee may enter into a Trading Plan only when he or she is not in possession of material, non-public information, and only during a trading window period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 to assist in the preparation and filing of a required Form 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Officers, directors and employees may adopt Trading Plans with brokers that outline a pre-set plan for trading of the Company’s stock, including the exercise of options. Trades pursuant to a Trading Plan generally may occur at any time. However, the Company requires a cooling-off period of 30 days between the establishment of a Trading Plan and commencement of any transactions under such plan. An individual may adopt more than one Trading Plan. Please review the following description of how a Trading Plan works.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Pursuant to Rule 10b5-1, an individual’s purchase or sale of securities will not be “on the basis of” material, non-public information if:</w:t>
      </w:r>
    </w:p>
    <w:p>
      <w:pPr>
        <w:pStyle w:val="TextBody"/>
        <w:bidi w:val="0"/>
        <w:spacing w:before="0" w:after="240"/>
        <w:jc w:val="left"/>
        <w:rPr/>
      </w:pPr>
      <w:r>
        <w:rPr>
          <w:color w:val="000000"/>
        </w:rPr>
        <w:t xml:space="preserve"> </w:t>
      </w:r>
      <w:r>
        <w:rPr>
          <w:rFonts w:ascii="Times New Roman" w:hAnsi="Times New Roman"/>
          <w:color w:val="000000"/>
          <w:sz w:val="24"/>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pStyle w:val="TextBody"/>
        <w:bidi w:val="0"/>
        <w:spacing w:before="0" w:after="240"/>
        <w:jc w:val="left"/>
        <w:rPr/>
      </w:pPr>
      <w:r>
        <w:rPr>
          <w:color w:val="000000"/>
        </w:rPr>
        <w:t xml:space="preserve"> </w:t>
      </w:r>
      <w:r>
        <w:rPr>
          <w:rFonts w:ascii="Times New Roman" w:hAnsi="Times New Roman"/>
          <w:color w:val="000000"/>
          <w:sz w:val="24"/>
        </w:rPr>
        <w:t>Second, the Trading Plan must either:</w:t>
      </w:r>
    </w:p>
    <w:p>
      <w:pPr>
        <w:pStyle w:val="TextBody"/>
        <w:bidi w:val="0"/>
        <w:spacing w:before="0" w:after="240"/>
        <w:jc w:val="left"/>
        <w:rPr/>
      </w:pPr>
      <w:r>
        <w:rPr>
          <w:color w:val="000000"/>
        </w:rPr>
        <w:t xml:space="preserve"> </w:t>
      </w:r>
      <w:r>
        <w:rPr>
          <w:rFonts w:ascii="Times New Roman" w:hAnsi="Times New Roman"/>
          <w:color w:val="000000"/>
          <w:sz w:val="24"/>
        </w:rPr>
        <w:t>specify the amount of securities to be purchased or sold, the price at which the securities are to be purchased or sold and the date on which the securities are to be purchased or sold;</w:t>
      </w:r>
    </w:p>
    <w:p>
      <w:pPr>
        <w:pStyle w:val="TextBody"/>
        <w:bidi w:val="0"/>
        <w:spacing w:before="0" w:after="240"/>
        <w:jc w:val="left"/>
        <w:rPr/>
      </w:pPr>
      <w:r>
        <w:rPr>
          <w:color w:val="000000"/>
        </w:rPr>
        <w:t xml:space="preserve"> </w:t>
      </w:r>
      <w:r>
        <w:rPr>
          <w:rFonts w:ascii="Times New Roman" w:hAnsi="Times New Roman"/>
          <w:color w:val="000000"/>
          <w:sz w:val="24"/>
        </w:rPr>
        <w:t>include a written formula or computer program for determining the amount, price and date of the transactions; or</w:t>
      </w:r>
    </w:p>
    <w:p>
      <w:pPr>
        <w:pStyle w:val="TextBody"/>
        <w:bidi w:val="0"/>
        <w:spacing w:before="0" w:after="240"/>
        <w:jc w:val="left"/>
        <w:rPr/>
      </w:pPr>
      <w:r>
        <w:rPr>
          <w:color w:val="000000"/>
        </w:rPr>
        <w:t xml:space="preserve"> </w:t>
      </w:r>
      <w:r>
        <w:rPr>
          <w:rFonts w:ascii="Times New Roman" w:hAnsi="Times New Roman"/>
          <w:color w:val="000000"/>
          <w:sz w:val="24"/>
        </w:rPr>
        <w:t>prohibit the individual from exercising any subsequent influence over the purchase or sale of the Company’s stock under the Trading Plan in question.</w:t>
      </w:r>
    </w:p>
    <w:p>
      <w:pPr>
        <w:pStyle w:val="TextBody"/>
        <w:bidi w:val="0"/>
        <w:spacing w:before="0" w:after="240"/>
        <w:jc w:val="left"/>
        <w:rPr/>
      </w:pPr>
      <w:r>
        <w:rPr>
          <w:color w:val="000000"/>
        </w:rPr>
        <w:t xml:space="preserve"> </w:t>
      </w:r>
      <w:r>
        <w:rPr>
          <w:rFonts w:ascii="Times New Roman" w:hAnsi="Times New Roman"/>
          <w:color w:val="000000"/>
          <w:sz w:val="24"/>
        </w:rPr>
        <w:t>Third, the purchase or sale must occur pursuant to the Trading Plan and the individual must not enter into a corresponding hedging transaction or alter or deviate from the Trading Plan.</w:t>
      </w:r>
    </w:p>
    <w:p>
      <w:pPr>
        <w:pStyle w:val="TextBody"/>
        <w:bidi w:val="0"/>
        <w:spacing w:before="0" w:after="240"/>
        <w:jc w:val="left"/>
        <w:rPr>
          <w:rFonts w:ascii="Times New Roman" w:hAnsi="Times New Roman"/>
          <w:sz w:val="20"/>
        </w:rPr>
      </w:pPr>
      <w:r>
        <w:rPr>
          <w:rFonts w:ascii="Times New Roman" w:hAnsi="Times New Roman"/>
          <w:color w:val="000000"/>
          <w:sz w:val="24"/>
        </w:rPr>
        <w:t>2. Revocation of and Amendments to Trading Plans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Revocation of Trading Plans should occur only in unusual circumstances. Effectiveness of any revocation or amendment of a Trading Plan will be subject to the prior review and approval of the Authorizing Officer. Once a Trading Plan has been revoked, the participant should wait at least 30 days before trading outside of a Trading Plan and 180 days before establishing a new Trading Plan. You should note that revocation of a Trading Plan can result in the loss of an affirmative defense for past or future transactions under a Trading Plan. You should consult with your own legal counsel before deciding to revoke a Trading Plan. In any event, you should not assume that compliance with the 180-day bar will protect you from possible adverse legal consequences of a Trading Plan revocation.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person acting in good faith may amend a prior Trading Plan so long as such amendments are made outside of a quarterly trading black-out period and at a time when the Trading Plan participant does not possess material, non-public information. Plan amendments must not take effect for at least 30 days after the plan amendments are made.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Under certain circumstances, a Trading Plan </w:t>
      </w:r>
      <w:r>
        <w:rPr>
          <w:rFonts w:ascii="Times New Roman" w:hAnsi="Times New Roman"/>
          <w:i/>
          <w:color w:val="000000"/>
          <w:sz w:val="24"/>
        </w:rPr>
        <w:t xml:space="preserve">must </w:t>
      </w:r>
      <w:r>
        <w:rPr>
          <w:rFonts w:ascii="Times New Roman" w:hAnsi="Times New Roman"/>
          <w:color w:val="000000"/>
          <w:sz w:val="24"/>
        </w:rPr>
        <w:t>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pStyle w:val="TextBody"/>
        <w:bidi w:val="0"/>
        <w:spacing w:before="0" w:after="240"/>
        <w:jc w:val="left"/>
        <w:rPr>
          <w:rFonts w:ascii="Times New Roman" w:hAnsi="Times New Roman"/>
          <w:sz w:val="20"/>
        </w:rPr>
      </w:pPr>
      <w:r>
        <w:rPr>
          <w:rFonts w:ascii="Times New Roman" w:hAnsi="Times New Roman"/>
          <w:color w:val="000000"/>
          <w:sz w:val="24"/>
        </w:rPr>
        <w:t>3. Discretionary Plans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Although non-discretionary Trading Plans are preferred, discretionary Trading Plans, where the discretion or control over trading is transferred to a broker, are permitted if pre-approved by the Authorizing Officer.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Authorizing Officer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pStyle w:val="TextBody"/>
        <w:bidi w:val="0"/>
        <w:spacing w:before="0" w:after="240"/>
        <w:jc w:val="left"/>
        <w:rPr>
          <w:rFonts w:ascii="Times New Roman" w:hAnsi="Times New Roman"/>
          <w:sz w:val="20"/>
        </w:rPr>
      </w:pPr>
      <w:r>
        <w:rPr>
          <w:rFonts w:ascii="Times New Roman" w:hAnsi="Times New Roman"/>
          <w:color w:val="000000"/>
          <w:sz w:val="24"/>
        </w:rPr>
        <w:t>4. Reporting (if Required)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____.”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5. Options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Exercises of options for cash may be executed at any time. “Cashless exercise” option exercises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pStyle w:val="TextBody"/>
        <w:bidi w:val="0"/>
        <w:spacing w:before="0" w:after="240"/>
        <w:jc w:val="left"/>
        <w:rPr>
          <w:rFonts w:ascii="Times New Roman" w:hAnsi="Times New Roman"/>
          <w:sz w:val="20"/>
        </w:rPr>
      </w:pPr>
      <w:r>
        <w:rPr>
          <w:rFonts w:ascii="Times New Roman" w:hAnsi="Times New Roman"/>
          <w:color w:val="000000"/>
          <w:sz w:val="24"/>
        </w:rPr>
        <w:t>6. Trades Outside of a Trading Plan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During an open trading window, trades differing from Trading Plan instructions that are already in place are allowed as long as the Trading Plan continues to be followed.</w:t>
      </w:r>
    </w:p>
    <w:p>
      <w:pPr>
        <w:pStyle w:val="TextBody"/>
        <w:bidi w:val="0"/>
        <w:spacing w:before="0" w:after="240"/>
        <w:jc w:val="left"/>
        <w:rPr>
          <w:rFonts w:ascii="Times New Roman" w:hAnsi="Times New Roman"/>
          <w:sz w:val="20"/>
        </w:rPr>
      </w:pPr>
      <w:r>
        <w:rPr>
          <w:rFonts w:ascii="Times New Roman" w:hAnsi="Times New Roman"/>
          <w:color w:val="000000"/>
          <w:sz w:val="24"/>
        </w:rPr>
        <w:t>7. Public Announcements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pStyle w:val="TextBody"/>
        <w:bidi w:val="0"/>
        <w:spacing w:before="0" w:after="240"/>
        <w:jc w:val="left"/>
        <w:rPr>
          <w:rFonts w:ascii="Times New Roman" w:hAnsi="Times New Roman"/>
          <w:sz w:val="20"/>
        </w:rPr>
      </w:pPr>
      <w:r>
        <w:rPr>
          <w:rFonts w:ascii="Times New Roman" w:hAnsi="Times New Roman"/>
          <w:color w:val="000000"/>
          <w:sz w:val="24"/>
        </w:rPr>
        <w:t>8. Prohibited Transactions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pStyle w:val="TextBody"/>
        <w:bidi w:val="0"/>
        <w:spacing w:before="0" w:after="240"/>
        <w:jc w:val="left"/>
        <w:rPr>
          <w:rFonts w:ascii="Times New Roman" w:hAnsi="Times New Roman"/>
          <w:sz w:val="20"/>
        </w:rPr>
      </w:pPr>
      <w:r>
        <w:rPr>
          <w:rFonts w:ascii="Times New Roman" w:hAnsi="Times New Roman"/>
          <w:color w:val="000000"/>
          <w:sz w:val="24"/>
        </w:rPr>
        <w:t>9. No Section 16 Protection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use of Trading Plans does not exempt participants from complying with the Section 16 reporting rules or liability for short-swing trades.</w:t>
      </w:r>
    </w:p>
    <w:p>
      <w:pPr>
        <w:pStyle w:val="TextBody"/>
        <w:bidi w:val="0"/>
        <w:spacing w:before="0" w:after="240"/>
        <w:jc w:val="left"/>
        <w:rPr>
          <w:rFonts w:ascii="Times New Roman" w:hAnsi="Times New Roman"/>
          <w:sz w:val="20"/>
        </w:rPr>
      </w:pPr>
      <w:r>
        <w:rPr>
          <w:rFonts w:ascii="Times New Roman" w:hAnsi="Times New Roman"/>
          <w:color w:val="000000"/>
          <w:sz w:val="24"/>
        </w:rPr>
        <w:t>10. Limitation on Liability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None of the Company, the Authorizing Officer or the Company’s other employees will have any liability for any delay in reviewing, or refusal of, a Trading Plan submitted pursuant to this Section VI.A. Notwithstanding any review of a Trading Plan pursuant to this Section VI.A, none of the Company, the Authorizing Officer or the Company’s other employees assumes any liability for the legality or consequences relating to such Trading Plan to the person adopting such Trading Plan.</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Section 16: Insider Reporting Requirements, Short-Swing Profits and Short Sales (Applicable to Officers, Directors and 10%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1. Reporting Obligations Under Section 16(a): SEC Forms 3, 4 and 5</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16(a) of the 1934 Act generally requires all officers, directors and 10% stockholders (“insiders”),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days after the date on which such change occurs, or in certain cases on Form 5, within 45 days after fiscal year end. The two-day Form 4 deadline begins to run from the trade date rather than the settlement date. A Form 4 must be filed even if, as a result of balancing transactions, there has been no net change in holdings. In certain situations, purchases or sales of Company stock made within six months </w:t>
      </w:r>
      <w:r>
        <w:rPr>
          <w:rFonts w:ascii="Times New Roman" w:hAnsi="Times New Roman"/>
          <w:i/>
          <w:color w:val="000000"/>
          <w:sz w:val="24"/>
        </w:rPr>
        <w:t xml:space="preserve">prior </w:t>
      </w:r>
      <w:r>
        <w:rPr>
          <w:rFonts w:ascii="Times New Roman" w:hAnsi="Times New Roman"/>
          <w:color w:val="000000"/>
          <w:sz w:val="24"/>
        </w:rPr>
        <w:t xml:space="preserve">to the filing of a Form 3 must be reported on Form 4. Similarly, certain purchases or sales of Company stock made within six months </w:t>
      </w:r>
      <w:r>
        <w:rPr>
          <w:rFonts w:ascii="Times New Roman" w:hAnsi="Times New Roman"/>
          <w:i/>
          <w:color w:val="000000"/>
          <w:sz w:val="24"/>
        </w:rPr>
        <w:t xml:space="preserve">after </w:t>
      </w:r>
      <w:r>
        <w:rPr>
          <w:rFonts w:ascii="Times New Roman" w:hAnsi="Times New Roman"/>
          <w:color w:val="000000"/>
          <w:sz w:val="24"/>
        </w:rPr>
        <w:t>an officer or director ceases to be an insider must be reported on Form 4.</w:t>
      </w:r>
    </w:p>
    <w:p>
      <w:pPr>
        <w:pStyle w:val="TextBody"/>
        <w:bidi w:val="0"/>
        <w:spacing w:before="0" w:after="240"/>
        <w:jc w:val="left"/>
        <w:rPr>
          <w:rFonts w:ascii="Times New Roman" w:hAnsi="Times New Roman"/>
          <w:sz w:val="20"/>
        </w:rPr>
      </w:pPr>
      <w:r>
        <w:rPr>
          <w:rFonts w:ascii="Times New Roman" w:hAnsi="Times New Roman"/>
          <w:color w:val="000000"/>
          <w:sz w:val="24"/>
        </w:rPr>
        <w:t>2. Recovery of Profits Under Section 16(b)</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the purpose of preventing the unfair use of information which may have been obtained by an insider, any profits realized by any officer, director or 10% stockholder from any “purchase” and “sale” of Company stock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liability of an insider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Officers and directors should consult the attached “Short-Swing Profit Rule Section 16(b) Checklist” attached hereto as “Attachment A” in addition to consulting the Chief Compliance Officer prior to engaging in any transactions involving the Company’s securities, including without limitation, the Company’s stock, options or warrants.</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3. Short Sales Prohibited Under Section 16(c)</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16(c) of the 1934 Act prohibits insiders absolutely from making short 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Chief Compliance Officer should be consulted if you have any questions regarding reporting obligations, short-swing profits or short sales under Section 16.</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Rule 144 (Applicable to Officers, Directors and 10%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Rule 144 provides a safe harbor exemption to the 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w:t>
      </w:r>
      <w:r>
        <w:rPr>
          <w:rFonts w:ascii="Times New Roman" w:hAnsi="Times New Roman"/>
          <w:i/>
          <w:color w:val="000000"/>
          <w:sz w:val="24"/>
        </w:rPr>
        <w:t xml:space="preserve">any </w:t>
      </w:r>
      <w:r>
        <w:rPr>
          <w:rFonts w:ascii="Times New Roman" w:hAnsi="Times New Roman"/>
          <w:color w:val="000000"/>
          <w:sz w:val="24"/>
        </w:rPr>
        <w:t>securities owned by directors, executive officers or other “affiliates” of the issuer, including stock purchased in the open market and stock received upon exercise of stock options. Sales of Company securities by affiliates (generally, directors, officers and 10% stockholders of the Company) must comply with the requirements of Rule 144, which are summarized below. Because the Company was a “shell company” prior to the closing of the business combination, Rule 144 will be unavailable for approximately one year following the closing of the business combination. Please contact the Company’s Chief Compliance Officer for additional information.</w:t>
      </w:r>
    </w:p>
    <w:p>
      <w:pPr>
        <w:pStyle w:val="TextBody"/>
        <w:bidi w:val="0"/>
        <w:spacing w:before="0" w:after="240"/>
        <w:jc w:val="left"/>
        <w:rPr/>
      </w:pPr>
      <w:r>
        <w:rPr>
          <w:color w:val="000000"/>
        </w:rPr>
        <w:t xml:space="preserve"> </w:t>
      </w:r>
      <w:r>
        <w:rPr>
          <w:rFonts w:ascii="Times New Roman" w:hAnsi="Times New Roman"/>
          <w:b/>
          <w:i/>
          <w:color w:val="000000"/>
          <w:sz w:val="24"/>
        </w:rPr>
        <w:t xml:space="preserve">Current Public Information. </w:t>
      </w:r>
      <w:r>
        <w:rPr>
          <w:rFonts w:ascii="Times New Roman" w:hAnsi="Times New Roman"/>
          <w:color w:val="000000"/>
          <w:sz w:val="24"/>
        </w:rPr>
        <w:t>The Company must have filed all SEC-required reports during the last 12 months.</w:t>
      </w:r>
    </w:p>
    <w:p>
      <w:pPr>
        <w:pStyle w:val="TextBody"/>
        <w:bidi w:val="0"/>
        <w:spacing w:before="0" w:after="240"/>
        <w:jc w:val="left"/>
        <w:rPr/>
      </w:pPr>
      <w:r>
        <w:rPr>
          <w:color w:val="000000"/>
        </w:rPr>
        <w:t xml:space="preserve"> </w:t>
      </w:r>
      <w:r>
        <w:rPr>
          <w:rFonts w:ascii="Times New Roman" w:hAnsi="Times New Roman"/>
          <w:b/>
          <w:i/>
          <w:color w:val="000000"/>
          <w:sz w:val="24"/>
        </w:rPr>
        <w:t xml:space="preserve">Volume Limitations. </w:t>
      </w:r>
      <w:r>
        <w:rPr>
          <w:rFonts w:ascii="Times New Roman" w:hAnsi="Times New Roman"/>
          <w:color w:val="000000"/>
          <w:sz w:val="24"/>
        </w:rPr>
        <w:t xml:space="preserve">Total sales of Company common stock by a covered individual for any three-month period may not exceed the </w:t>
      </w:r>
      <w:r>
        <w:rPr>
          <w:rFonts w:ascii="Times New Roman" w:hAnsi="Times New Roman"/>
          <w:i/>
          <w:color w:val="000000"/>
          <w:sz w:val="24"/>
        </w:rPr>
        <w:t xml:space="preserve">greater </w:t>
      </w:r>
      <w:r>
        <w:rPr>
          <w:rFonts w:ascii="Times New Roman" w:hAnsi="Times New Roman"/>
          <w:color w:val="000000"/>
          <w:sz w:val="24"/>
        </w:rPr>
        <w:t>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pStyle w:val="TextBody"/>
        <w:bidi w:val="0"/>
        <w:spacing w:before="0" w:after="240"/>
        <w:jc w:val="left"/>
        <w:rPr/>
      </w:pPr>
      <w:r>
        <w:rPr>
          <w:color w:val="000000"/>
        </w:rPr>
        <w:t xml:space="preserve"> </w:t>
      </w:r>
      <w:r>
        <w:rPr>
          <w:rFonts w:ascii="Times New Roman" w:hAnsi="Times New Roman"/>
          <w:b/>
          <w:i/>
          <w:color w:val="000000"/>
          <w:sz w:val="24"/>
        </w:rPr>
        <w:t xml:space="preserve">Method of Sale. </w:t>
      </w:r>
      <w:r>
        <w:rPr>
          <w:rFonts w:ascii="Times New Roman" w:hAnsi="Times New Roman"/>
          <w:color w:val="000000"/>
          <w:sz w:val="24"/>
        </w:rPr>
        <w:t>The shares must be sold either in a “broker’s transaction” or in a transaction directly with a “market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 xml:space="preserve"> </w:t>
      </w:r>
      <w:r>
        <w:rPr>
          <w:rFonts w:ascii="Times New Roman" w:hAnsi="Times New Roman"/>
          <w:b/>
          <w:i/>
          <w:color w:val="000000"/>
          <w:sz w:val="24"/>
        </w:rPr>
        <w:t xml:space="preserve">Notice of Proposed Sale. </w:t>
      </w:r>
      <w:r>
        <w:rPr>
          <w:rFonts w:ascii="Times New Roman" w:hAnsi="Times New Roman"/>
          <w:color w:val="000000"/>
          <w:sz w:val="24"/>
        </w:rPr>
        <w:t>A notice of the sale (a Form 144) must be filed with the SEC at the time of the sale. Brokers generally have internal procedures for executing sales under Rule 144 and will assist you in completing the Form 144 and in complying with the other requirements of Rule 144.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you are subject to Rule 144, you must instruct your broker who handles trades in Company securities to follow the brokerage firm’s Rule 144 compliance procedures in connection with all trades.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VII. EXECUTION AND RETURN OF CERTIFICATION OF COMPLIANCE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reading this Policy, all officers, directors and employees should execute and return to the Chief Compliance Officer the Certification of Compliance form attached hereto as “Attachment B.”</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ATTACHMENT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SHORT-SWING PROFIT RULE SECTION 16(B) CHECKLIST</w:t>
      </w:r>
    </w:p>
    <w:p>
      <w:pPr>
        <w:pStyle w:val="TextBody"/>
        <w:bidi w:val="0"/>
        <w:jc w:val="center"/>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Note: ANY combination of PURCHASE AND SALE or SALE AND PURCHASE within six months of each other by an officer, director or 10% stockholder (or any family member living in the same household or certain affiliated entities) results in a violation of Section 16(b), and the “profit” must be recovered by Aware, Inc. (the “Company”). It makes no difference how long the shares being sold have been held or, for officers and directors, that you were an insider for only one of the two matching transactions. The highest priced sale will be matched with the lowest priced purchase within the six-month period.</w:t>
      </w:r>
    </w:p>
    <w:p>
      <w:pPr>
        <w:pStyle w:val="TextBody"/>
        <w:bidi w:val="0"/>
        <w:jc w:val="center"/>
        <w:rPr>
          <w:rFonts w:ascii="Times New Roman" w:hAnsi="Times New Roman"/>
          <w:b/>
          <w:color w:val="000000"/>
          <w:sz w:val="24"/>
        </w:rPr>
      </w:pPr>
      <w:r>
        <w:rPr>
          <w:rFonts w:ascii="Times New Roman" w:hAnsi="Times New Roman"/>
          <w:b/>
          <w:color w:val="000000"/>
          <w:sz w:val="24"/>
        </w:rPr>
        <w:t>Sales</w:t>
      </w:r>
    </w:p>
    <w:p>
      <w:pPr>
        <w:pStyle w:val="TextBody"/>
        <w:bidi w:val="0"/>
        <w:jc w:val="center"/>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 sale is to be made by an officer, director or 10% stockholder (or any family member living in the same household or certain affiliated entities):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Have there been any purchases by the insider (or family members living in the same household or certain affiliated entities) within the past six months?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Have there been any option grants or exercises not exempt under Rule 16b-3 within the past six months?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 Are any purchases (or non-exempt option exercises) anticipated or required within the next six months?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 Has a Form 4 been prepared?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Note: If a sale is to be made by an affiliate of the Company, has a Form 144 been prepared and has the broker been reminded to sell pursuant to Rule 144?</w:t>
      </w:r>
    </w:p>
    <w:p>
      <w:pPr>
        <w:pStyle w:val="TextBody"/>
        <w:bidi w:val="0"/>
        <w:jc w:val="center"/>
        <w:rPr>
          <w:rFonts w:ascii="Times New Roman" w:hAnsi="Times New Roman"/>
          <w:b/>
          <w:color w:val="000000"/>
          <w:sz w:val="24"/>
        </w:rPr>
      </w:pPr>
      <w:r>
        <w:rPr>
          <w:rFonts w:ascii="Times New Roman" w:hAnsi="Times New Roman"/>
          <w:b/>
          <w:color w:val="000000"/>
          <w:sz w:val="24"/>
        </w:rPr>
        <w:t>Purchases And Option Exercises</w:t>
      </w:r>
    </w:p>
    <w:p>
      <w:pPr>
        <w:pStyle w:val="TextBody"/>
        <w:bidi w:val="0"/>
        <w:jc w:val="center"/>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 purchase or option exercise for Company stock is to be made: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Have there been any sales by the insider (or family members living in the same household or certain affiliated entities) within the past six months?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Are any sales anticipated or required within the next six months (such as tax-related or year-end transactions)?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 Has a Form 4 been prepared?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Before proceeding with a purchase or sale, consider whether you are aware of material inside information which could affect the price of the Company stock. All transactions in the Company’s securities by officers and directors must be </w:t>
      </w:r>
      <w:r>
        <w:rPr>
          <w:rFonts w:ascii="Times New Roman" w:hAnsi="Times New Roman"/>
          <w:color w:val="000000"/>
          <w:sz w:val="25"/>
          <w:u w:val="single"/>
        </w:rPr>
        <w:t>pre-cleared</w:t>
      </w:r>
      <w:r>
        <w:rPr>
          <w:rFonts w:ascii="Times New Roman" w:hAnsi="Times New Roman"/>
          <w:color w:val="000000"/>
          <w:sz w:val="20"/>
        </w:rPr>
        <w:t xml:space="preserve"> </w:t>
      </w:r>
      <w:r>
        <w:rPr>
          <w:rFonts w:ascii="Times New Roman" w:hAnsi="Times New Roman"/>
          <w:color w:val="000000"/>
          <w:sz w:val="24"/>
        </w:rPr>
        <w:t>by contacting the Company’s Chief Compliance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u w:val="single"/>
        </w:rPr>
        <w:t>ATTACHMENT B</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CERTIFICATION OF COMPLIANCE</w:t>
      </w:r>
    </w:p>
    <w:p>
      <w:pPr>
        <w:pStyle w:val="TextBody"/>
        <w:bidi w:val="0"/>
        <w:jc w:val="center"/>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RETURN BY [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TO: [______________], Chief Compliance Officer </w:t>
        <w:br/>
      </w:r>
      <w:r>
        <w:rPr>
          <w:rFonts w:ascii="Times New Roman" w:hAnsi="Times New Roman"/>
          <w:color w:val="000000"/>
          <w:sz w:val="20"/>
        </w:rPr>
        <w:t> </w:t>
      </w:r>
    </w:p>
    <w:p>
      <w:pPr>
        <w:pStyle w:val="TextBody"/>
        <w:bidi w:val="0"/>
        <w:jc w:val="left"/>
        <w:rPr>
          <w:rFonts w:ascii="Times New Roman" w:hAnsi="Times New Roman"/>
          <w:color w:val="000000"/>
          <w:sz w:val="24"/>
        </w:rPr>
      </w:pPr>
      <w:r>
        <w:rPr>
          <w:rFonts w:ascii="Times New Roman" w:hAnsi="Times New Roman"/>
          <w:color w:val="000000"/>
          <w:sz w:val="24"/>
        </w:rPr>
        <w:t>FROM: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 INSIDER TRADING COMPLIANCE POLICY OF AWARE, INC.</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have received, reviewed and understand the above-referenced Insider Trading Compliance Policy and undertake, as a condition to my present and continued employment (or, if I am not an employee, affiliation with) Aware, Inc., to comply fully with the policies and procedures contained therein.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hereby certify, to the best of my knowledge, that during the calendar year ending December 31, 20[__], I have complied fully with all policies and procedures set forth in the above-referenced Insider Trading Compliance Policy.</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SIGNATURE DATE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awre-ex21_1.htm"/>
      <w:bookmarkStart w:id="35" w:name="ksawreex21_1"/>
      <w:bookmarkEnd w:id="34"/>
      <w:bookmarkEnd w:id="35"/>
      <w:r>
        <w:rPr>
          <w:rFonts w:ascii="Times New Roman" w:hAnsi="Times New Roman"/>
          <w:b/>
          <w:color w:val="000000"/>
          <w:sz w:val="20"/>
        </w:rPr>
        <w:t>Exhibit 21.1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SUBSIDIARIES OF REGISTRANT</w:t>
      </w:r>
    </w:p>
    <w:p>
      <w:pPr>
        <w:pStyle w:val="TextBody"/>
        <w:bidi w:val="0"/>
        <w:jc w:val="left"/>
        <w:rPr/>
      </w:pPr>
      <w:r>
        <w:rPr/>
        <w:t> </w:t>
      </w:r>
    </w:p>
    <w:tbl>
      <w:tblPr>
        <w:tblW w:w="3853" w:type="dxa"/>
        <w:jc w:val="left"/>
        <w:tblInd w:w="0" w:type="dxa"/>
        <w:tblLayout w:type="fixed"/>
        <w:tblCellMar>
          <w:top w:w="28" w:type="dxa"/>
          <w:left w:w="28" w:type="dxa"/>
          <w:bottom w:w="28" w:type="dxa"/>
          <w:right w:w="28" w:type="dxa"/>
        </w:tblCellMar>
      </w:tblPr>
      <w:tblGrid>
        <w:gridCol w:w="2386"/>
        <w:gridCol w:w="146"/>
        <w:gridCol w:w="132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Organization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Aware Security Corporation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Massachusetts</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Fort3ss, Inc.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awre-ex23_1.htm"/>
      <w:bookmarkStart w:id="37" w:name="ksawreex23_1"/>
      <w:bookmarkEnd w:id="36"/>
      <w:bookmarkEnd w:id="37"/>
      <w:r>
        <w:rPr>
          <w:rFonts w:ascii="Times New Roman" w:hAnsi="Times New Roman"/>
          <w:b/>
          <w:color w:val="000000"/>
          <w:sz w:val="20"/>
        </w:rPr>
        <w:t>Exhibit 23.1</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Statements (333-62020, 333-106569, 333-261273, and 333-276900) on Form S-8 of Aware, Inc. of our report dated March 13, 2025, relating to the consolidated financial statements, of Aware, Inc. and its subsidiaries, appearing in this Annual Report on Form 10-K of Aware, Inc. for the year ended December 31, 2024.</w:t>
      </w:r>
    </w:p>
    <w:p>
      <w:pPr>
        <w:pStyle w:val="TextBody"/>
        <w:bidi w:val="0"/>
        <w:jc w:val="both"/>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RSM US LLP</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Boston, Massachusetts </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13, 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8" w:name="awre-ex31_1.htm"/>
      <w:bookmarkStart w:id="39" w:name="ksawreex31_1"/>
      <w:bookmarkEnd w:id="38"/>
      <w:bookmarkEnd w:id="39"/>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Ajay K. Amlani, Chief Executive Officer of Aware, Inc.,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annual report on Form 10-K of Aware,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50" w:type="dxa"/>
        <w:jc w:val="left"/>
        <w:tblInd w:w="0" w:type="dxa"/>
        <w:tblLayout w:type="fixed"/>
        <w:tblCellMar>
          <w:top w:w="28" w:type="dxa"/>
          <w:left w:w="28" w:type="dxa"/>
          <w:bottom w:w="28" w:type="dxa"/>
          <w:right w:w="28" w:type="dxa"/>
        </w:tblCellMar>
      </w:tblPr>
      <w:tblGrid>
        <w:gridCol w:w="601"/>
        <w:gridCol w:w="146"/>
        <w:gridCol w:w="1396"/>
        <w:gridCol w:w="146"/>
        <w:gridCol w:w="306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Ajay K. Amlani</w:t>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K. Amlani</w:t>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40" w:name="awre-ex31_2.htm"/>
      <w:bookmarkStart w:id="41" w:name="ksawreex31_2"/>
      <w:bookmarkEnd w:id="40"/>
      <w:bookmarkEnd w:id="41"/>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David K. Traverse, Chief Financial Officer of Aware, Inc.,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annual report on Form 10-K of Aware,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300" w:type="dxa"/>
        <w:jc w:val="left"/>
        <w:tblInd w:w="0" w:type="dxa"/>
        <w:tblLayout w:type="fixed"/>
        <w:tblCellMar>
          <w:top w:w="28" w:type="dxa"/>
          <w:left w:w="28" w:type="dxa"/>
          <w:bottom w:w="28" w:type="dxa"/>
          <w:right w:w="28" w:type="dxa"/>
        </w:tblCellMar>
      </w:tblPr>
      <w:tblGrid>
        <w:gridCol w:w="601"/>
        <w:gridCol w:w="146"/>
        <w:gridCol w:w="1396"/>
        <w:gridCol w:w="146"/>
        <w:gridCol w:w="201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Date: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13,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David K. Traverse</w:t>
            </w:r>
          </w:p>
        </w:tc>
      </w:tr>
      <w:tr>
        <w:trPr/>
        <w:tc>
          <w:tcPr>
            <w:tcW w:w="6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David K. Traverse</w:t>
            </w:r>
          </w:p>
        </w:tc>
      </w:tr>
      <w:tr>
        <w:trPr/>
        <w:tc>
          <w:tcPr>
            <w:tcW w:w="6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awre-ex32_1.htm"/>
      <w:bookmarkStart w:id="43" w:name="ksawreex32_1"/>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 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Annual Report on Form 10-K of Aware, Inc. (the “Company”) for the year ended December 31, 2024, as filed with the Securities and Exchange Commission on the date hereof (the “Report”), each of the undersigned Chief Executive Officer and Principal Financial Officer of the Company, certifies, to the best knowledge and belief of the signatory, pursuant to 18 U.S.C. §1350, as adopted pursuant to Section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88" w:type="dxa"/>
        <w:jc w:val="left"/>
        <w:tblInd w:w="0" w:type="dxa"/>
        <w:tblLayout w:type="fixed"/>
        <w:tblCellMar>
          <w:top w:w="28" w:type="dxa"/>
          <w:left w:w="28" w:type="dxa"/>
          <w:bottom w:w="28" w:type="dxa"/>
          <w:right w:w="28" w:type="dxa"/>
        </w:tblCellMar>
      </w:tblPr>
      <w:tblGrid>
        <w:gridCol w:w="3031"/>
        <w:gridCol w:w="146"/>
        <w:gridCol w:w="20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Ajay K. Amlani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K. Amlani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K. Traverse</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tbl>
      <w:tblPr>
        <w:tblW w:w="4372" w:type="dxa"/>
        <w:jc w:val="left"/>
        <w:tblInd w:w="0" w:type="dxa"/>
        <w:tblLayout w:type="fixed"/>
        <w:tblCellMar>
          <w:top w:w="28" w:type="dxa"/>
          <w:left w:w="28" w:type="dxa"/>
          <w:bottom w:w="28" w:type="dxa"/>
          <w:right w:w="28" w:type="dxa"/>
        </w:tblCellMar>
      </w:tblPr>
      <w:tblGrid>
        <w:gridCol w:w="556"/>
        <w:gridCol w:w="146"/>
        <w:gridCol w:w="1396"/>
        <w:gridCol w:w="146"/>
        <w:gridCol w:w="541"/>
        <w:gridCol w:w="146"/>
        <w:gridCol w:w="144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certification set forth above is being furnished as an exhibit solely pursuant to Section 906 of the Sarbanes-Oxley Act of 2002 and is not being filed as part of the Form 10-K or as a separate disclosure document of the Company or the certifying officers.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5739/000118811209000293/ex3-1.htm" TargetMode="External"/><Relationship Id="rId3" Type="http://schemas.openxmlformats.org/officeDocument/2006/relationships/hyperlink" Target="https://www.sec.gov/Archives/edgar/data/1015739/000118811207003562/ex3-1.htm" TargetMode="External"/><Relationship Id="rId4" Type="http://schemas.openxmlformats.org/officeDocument/2006/relationships/hyperlink" Target="https://www.sec.gov/Archives/edgar/data/1015739/000110465920022309/tm205258d1_ex4-1.htm" TargetMode="External"/><Relationship Id="rId5" Type="http://schemas.openxmlformats.org/officeDocument/2006/relationships/hyperlink" Target="https://www.sec.gov/Archives/edgar/data/1015739/000118811211000327/exhibit10-1.htm" TargetMode="External"/><Relationship Id="rId6" Type="http://schemas.openxmlformats.org/officeDocument/2006/relationships/hyperlink" Target="https://www.sec.gov/Archives/edgar/data/1015739/000118811203000087/taware01noqlfdstock-29095.txt" TargetMode="External"/><Relationship Id="rId7" Type="http://schemas.openxmlformats.org/officeDocument/2006/relationships/hyperlink" Target="https://www.sec.gov/Archives/edgar/data/1015739/000118811207000692/ex10-6.txt" TargetMode="External"/><Relationship Id="rId8" Type="http://schemas.openxmlformats.org/officeDocument/2006/relationships/hyperlink" Target="https://www.sec.gov/Archives/edgar/data/1015739/000118811208001758/ex10-8.htm" TargetMode="External"/><Relationship Id="rId9" Type="http://schemas.openxmlformats.org/officeDocument/2006/relationships/hyperlink" Target="https://www.sec.gov/Archives/edgar/data/1015739/000118811210001904/ex10-1.htm" TargetMode="External"/><Relationship Id="rId10" Type="http://schemas.openxmlformats.org/officeDocument/2006/relationships/hyperlink" Target="https://www.sec.gov/Archives/edgar/data/1015739/000118811210001904/ex10-2.htm" TargetMode="External"/><Relationship Id="rId11" Type="http://schemas.openxmlformats.org/officeDocument/2006/relationships/hyperlink" Target="https://www.sec.gov/Archives/edgar/data/1015739/000118811213000979/ex10-1.htm" TargetMode="External"/><Relationship Id="rId12" Type="http://schemas.openxmlformats.org/officeDocument/2006/relationships/hyperlink" Target="https://www.sec.gov/Archives/edgar/data/1015739/000110465919065320/tm1922947d1_ex10-1.htm" TargetMode="External"/><Relationship Id="rId13" Type="http://schemas.openxmlformats.org/officeDocument/2006/relationships/hyperlink" Target="https://www.sec.gov/ix?doc=/Archives/edgar/data/1015739/000095017024043380/awre-20240405.htm" TargetMode="External"/><Relationship Id="rId14" Type="http://schemas.openxmlformats.org/officeDocument/2006/relationships/hyperlink" Target="https://www.sec.gov/Archives/edgar/data/1015739/000156459022010383/awre-ex1020_96.htm" TargetMode="External"/><Relationship Id="rId15" Type="http://schemas.openxmlformats.org/officeDocument/2006/relationships/hyperlink" Target="https://www.sec.gov/Archives/edgar/data/1015739/000156459022010383/awre-ex1020_96.htm" TargetMode="External"/><Relationship Id="rId16" Type="http://schemas.openxmlformats.org/officeDocument/2006/relationships/hyperlink" Target="https://www.sec.gov/Archives/edgar/data/1015739/000095017024005411/awre-ex10_1.htm" TargetMode="External"/><Relationship Id="rId17" Type="http://schemas.openxmlformats.org/officeDocument/2006/relationships/hyperlink" Target="https://www.sec.gov/Archives/edgar/data/1015739/000095017024005411/awre-ex10_2.htm" TargetMode="External"/><Relationship Id="rId18" Type="http://schemas.openxmlformats.org/officeDocument/2006/relationships/hyperlink" Target="https://www.sec.gov/Archives/edgar/data/1015739/000095017024005411/awre-ex10_3.htm" TargetMode="External"/><Relationship Id="rId19" Type="http://schemas.openxmlformats.org/officeDocument/2006/relationships/hyperlink" Target="https://www.sec.gov/Archives/edgar/data/1015739/000095017024005411/awre-ex10_4.htm" TargetMode="External"/><Relationship Id="rId20" Type="http://schemas.openxmlformats.org/officeDocument/2006/relationships/hyperlink" Target="https://www.sec.gov/Archives/edgar/data/1015739/000095017024119136/awre-ex10_1.htm" TargetMode="External"/><Relationship Id="rId21" Type="http://schemas.openxmlformats.org/officeDocument/2006/relationships/hyperlink" Target="https://www.sec.gov/Archives/edgar/data/1015739/000095017025013916/awre-ex10_1.htm" TargetMode="External"/><Relationship Id="rId22" Type="http://schemas.openxmlformats.org/officeDocument/2006/relationships/hyperlink" Target="https://www.sec.gov/Archives/edgar/data/1015739/000095017024032239/awre-ex97_1.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48048</Words>
  <Characters>262709</Characters>
  <CharactersWithSpaces>311166</CharactersWithSpaces>
  <Paragraphs>5739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