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2010</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000-21129</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AWARE, INC.</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318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8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5"/>
              </w:rPr>
              <w:t>Massachusetts</w:t>
            </w:r>
          </w:p>
        </w:tc>
        <w:tc>
          <w:tcPr>
            <w:tcW w:w="282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04-2911026</w:t>
            </w:r>
          </w:p>
        </w:tc>
      </w:tr>
      <w:tr>
        <w:trPr>
          <w:trHeight w:val="20"/>
        </w:trPr>
        <w:tc>
          <w:tcPr>
            <w:tcW w:w="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9"/>
        </w:trPr>
        <w:tc>
          <w:tcPr>
            <w:tcW w:w="24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(State or Other Jurisdiction of</w:t>
            </w:r>
          </w:p>
        </w:tc>
        <w:tc>
          <w:tcPr>
            <w:tcW w:w="28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4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40 Middlesex Turnpike, Bedford, Massachusetts, 01730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(781) 276-4000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38"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ind w:right="3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w w:val="95"/>
              </w:rPr>
              <w:t>Large Accelerated Filer o  Accelerated Filer x  Non-Accelerated Filer o</w:t>
            </w:r>
          </w:p>
        </w:tc>
        <w:tc>
          <w:tcPr>
            <w:tcW w:w="6060" w:type="dxa"/>
            <w:vAlign w:val="bottom"/>
            <w:gridSpan w:val="3"/>
          </w:tcPr>
          <w:p>
            <w:pPr>
              <w:ind w:left="60"/>
              <w:spacing w:after="0"/>
              <w:rPr>
                <w:sz w:val="20"/>
                <w:szCs w:val="20"/>
                <w:color w:val="auto"/>
              </w:rPr>
            </w:pPr>
            <w:r>
              <w:rPr>
                <w:rFonts w:ascii="Arial" w:cs="Arial" w:eastAsia="Arial" w:hAnsi="Arial"/>
                <w:sz w:val="18"/>
                <w:szCs w:val="18"/>
                <w:color w:val="auto"/>
              </w:rPr>
              <w:t>Smaller Reporting Company o</w:t>
            </w:r>
          </w:p>
        </w:tc>
        <w:tc>
          <w:tcPr>
            <w:tcW w:w="20" w:type="dxa"/>
            <w:vAlign w:val="bottom"/>
          </w:tcPr>
          <w:p>
            <w:pPr>
              <w:spacing w:after="0"/>
              <w:rPr>
                <w:sz w:val="20"/>
                <w:szCs w:val="20"/>
                <w:color w:val="auto"/>
              </w:rPr>
            </w:pPr>
          </w:p>
        </w:tc>
      </w:tr>
      <w:tr>
        <w:trPr>
          <w:trHeight w:val="445"/>
        </w:trPr>
        <w:tc>
          <w:tcPr>
            <w:tcW w:w="1142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tc>
        <w:tc>
          <w:tcPr>
            <w:tcW w:w="20" w:type="dxa"/>
            <w:vAlign w:val="bottom"/>
          </w:tcPr>
          <w:p>
            <w:pPr>
              <w:spacing w:after="0"/>
              <w:rPr>
                <w:sz w:val="24"/>
                <w:szCs w:val="24"/>
                <w:color w:val="auto"/>
              </w:rPr>
            </w:pPr>
          </w:p>
        </w:tc>
      </w:tr>
      <w:tr>
        <w:trPr>
          <w:trHeight w:val="459"/>
        </w:trPr>
        <w:tc>
          <w:tcPr>
            <w:tcW w:w="114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the issuer’s common stock as of April 26, 2010:</w:t>
            </w:r>
          </w:p>
        </w:tc>
        <w:tc>
          <w:tcPr>
            <w:tcW w:w="20" w:type="dxa"/>
            <w:vAlign w:val="bottom"/>
          </w:tcPr>
          <w:p>
            <w:pPr>
              <w:spacing w:after="0"/>
              <w:rPr>
                <w:sz w:val="24"/>
                <w:szCs w:val="24"/>
                <w:color w:val="auto"/>
              </w:rPr>
            </w:pPr>
          </w:p>
        </w:tc>
      </w:tr>
      <w:tr>
        <w:trPr>
          <w:trHeight w:val="419"/>
        </w:trPr>
        <w:tc>
          <w:tcPr>
            <w:tcW w:w="2660" w:type="dxa"/>
            <w:vAlign w:val="bottom"/>
          </w:tcPr>
          <w:p>
            <w:pPr>
              <w:spacing w:after="0"/>
              <w:rPr>
                <w:sz w:val="24"/>
                <w:szCs w:val="24"/>
                <w:color w:val="auto"/>
              </w:rPr>
            </w:pPr>
          </w:p>
        </w:tc>
        <w:tc>
          <w:tcPr>
            <w:tcW w:w="270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83"/>
              </w:rPr>
              <w:t>Class</w:t>
            </w:r>
          </w:p>
        </w:tc>
        <w:tc>
          <w:tcPr>
            <w:tcW w:w="606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Number of Shares Outstanding</w:t>
            </w:r>
          </w:p>
        </w:tc>
        <w:tc>
          <w:tcPr>
            <w:tcW w:w="20" w:type="dxa"/>
            <w:vAlign w:val="bottom"/>
          </w:tcPr>
          <w:p>
            <w:pPr>
              <w:spacing w:after="0"/>
              <w:rPr>
                <w:sz w:val="24"/>
                <w:szCs w:val="24"/>
                <w:color w:val="auto"/>
              </w:rPr>
            </w:pPr>
          </w:p>
        </w:tc>
      </w:tr>
      <w:tr>
        <w:trPr>
          <w:trHeight w:val="20"/>
        </w:trPr>
        <w:tc>
          <w:tcPr>
            <w:tcW w:w="2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36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Common Stock, par value $0.01 per share</w:t>
            </w:r>
          </w:p>
        </w:tc>
        <w:tc>
          <w:tcPr>
            <w:tcW w:w="2000" w:type="dxa"/>
            <w:vAlign w:val="bottom"/>
          </w:tcPr>
          <w:p>
            <w:pPr>
              <w:spacing w:after="0"/>
              <w:rPr>
                <w:sz w:val="20"/>
                <w:szCs w:val="20"/>
                <w:color w:val="auto"/>
              </w:rPr>
            </w:pPr>
          </w:p>
        </w:tc>
        <w:tc>
          <w:tcPr>
            <w:tcW w:w="4060" w:type="dxa"/>
            <w:vAlign w:val="bottom"/>
            <w:gridSpan w:val="2"/>
          </w:tcPr>
          <w:p>
            <w:pPr>
              <w:jc w:val="center"/>
              <w:ind w:right="1640"/>
              <w:spacing w:after="0"/>
              <w:rPr>
                <w:sz w:val="20"/>
                <w:szCs w:val="20"/>
                <w:color w:val="auto"/>
              </w:rPr>
            </w:pPr>
            <w:r>
              <w:rPr>
                <w:rFonts w:ascii="Arial" w:cs="Arial" w:eastAsia="Arial" w:hAnsi="Arial"/>
                <w:sz w:val="18"/>
                <w:szCs w:val="18"/>
                <w:color w:val="auto"/>
                <w:w w:val="87"/>
              </w:rPr>
              <w:t>19,926,970 shares</w:t>
            </w:r>
          </w:p>
        </w:tc>
        <w:tc>
          <w:tcPr>
            <w:tcW w:w="20" w:type="dxa"/>
            <w:vAlign w:val="bottom"/>
          </w:tcPr>
          <w:p>
            <w:pPr>
              <w:spacing w:after="0"/>
              <w:rPr>
                <w:sz w:val="20"/>
                <w:szCs w:val="20"/>
                <w:color w:val="auto"/>
              </w:rPr>
            </w:pPr>
          </w:p>
        </w:tc>
      </w:tr>
      <w:tr>
        <w:trPr>
          <w:trHeight w:val="118"/>
        </w:trPr>
        <w:tc>
          <w:tcPr>
            <w:tcW w:w="2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71"/>
        </w:trPr>
        <w:tc>
          <w:tcPr>
            <w:tcW w:w="266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230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2420" w:type="dxa"/>
            <w:vAlign w:val="bottom"/>
            <w:shd w:val="clear" w:color="auto" w:fill="808080"/>
          </w:tcPr>
          <w:p>
            <w:pPr>
              <w:spacing w:after="0"/>
              <w:rPr>
                <w:sz w:val="6"/>
                <w:szCs w:val="6"/>
                <w:color w:val="auto"/>
              </w:rPr>
            </w:pPr>
          </w:p>
        </w:tc>
        <w:tc>
          <w:tcPr>
            <w:tcW w:w="1640" w:type="dxa"/>
            <w:vAlign w:val="bottom"/>
            <w:shd w:val="clear" w:color="auto" w:fill="808080"/>
          </w:tcPr>
          <w:p>
            <w:pPr>
              <w:spacing w:after="0"/>
              <w:rPr>
                <w:sz w:val="6"/>
                <w:szCs w:val="6"/>
                <w:color w:val="auto"/>
              </w:rPr>
            </w:pPr>
          </w:p>
        </w:tc>
        <w:tc>
          <w:tcPr>
            <w:tcW w:w="20" w:type="dxa"/>
            <w:vAlign w:val="bottom"/>
          </w:tcPr>
          <w:p>
            <w:pPr>
              <w:spacing w:after="0"/>
              <w:rPr>
                <w:sz w:val="6"/>
                <w:szCs w:val="6"/>
                <w:color w:val="auto"/>
              </w:rPr>
            </w:pPr>
          </w:p>
        </w:tc>
      </w:tr>
      <w:tr>
        <w:trPr>
          <w:trHeight w:val="500"/>
        </w:trPr>
        <w:tc>
          <w:tcPr>
            <w:tcW w:w="26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310"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AWARE,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jc w:val="center"/>
        <w:spacing w:after="0"/>
        <w:rPr>
          <w:sz w:val="20"/>
          <w:szCs w:val="20"/>
          <w:color w:val="auto"/>
        </w:rPr>
      </w:pPr>
      <w:r>
        <w:rPr>
          <w:rFonts w:ascii="Arial" w:cs="Arial" w:eastAsia="Arial" w:hAnsi="Arial"/>
          <w:sz w:val="22"/>
          <w:szCs w:val="22"/>
          <w:b w:val="1"/>
          <w:bCs w:val="1"/>
          <w:color w:val="auto"/>
        </w:rPr>
        <w:t>FOR THE QUARTER ENDED MARCH 31, 2010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8980" w:type="dxa"/>
            <w:vAlign w:val="bottom"/>
            <w:vMerge w:val="restart"/>
          </w:tcPr>
          <w:p>
            <w:pPr>
              <w:ind w:left="260"/>
              <w:spacing w:after="0"/>
              <w:rPr>
                <w:sz w:val="20"/>
                <w:szCs w:val="20"/>
                <w:color w:val="auto"/>
              </w:rPr>
            </w:pPr>
            <w:r>
              <w:rPr>
                <w:rFonts w:ascii="Arial" w:cs="Arial" w:eastAsia="Arial" w:hAnsi="Arial"/>
                <w:sz w:val="18"/>
                <w:szCs w:val="18"/>
                <w:color w:val="auto"/>
              </w:rPr>
              <w:t>FINANCIAL INFORMATION</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900" w:type="dxa"/>
            <w:vAlign w:val="bottom"/>
            <w:vMerge w:val="continue"/>
          </w:tcPr>
          <w:p>
            <w:pPr>
              <w:spacing w:after="0"/>
              <w:rPr>
                <w:sz w:val="20"/>
                <w:szCs w:val="20"/>
                <w:color w:val="auto"/>
              </w:rPr>
            </w:pPr>
          </w:p>
        </w:tc>
        <w:tc>
          <w:tcPr>
            <w:tcW w:w="898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tcPr>
          <w:p>
            <w:pPr>
              <w:ind w:left="260"/>
              <w:spacing w:after="0"/>
              <w:rPr>
                <w:sz w:val="20"/>
                <w:szCs w:val="20"/>
                <w:color w:val="auto"/>
              </w:rPr>
            </w:pPr>
            <w:r>
              <w:rPr>
                <w:rFonts w:ascii="Arial" w:cs="Arial" w:eastAsia="Arial" w:hAnsi="Arial"/>
                <w:sz w:val="18"/>
                <w:szCs w:val="18"/>
                <w:color w:val="auto"/>
              </w:rPr>
              <w:t>Unaudited Consolidated Financial Statements</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8"/>
                <w:szCs w:val="18"/>
                <w:color w:val="auto"/>
              </w:rPr>
              <w:t>Consolidated Balance Sheets as of March 31, 2010 and December 31, 2009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8"/>
                <w:szCs w:val="18"/>
                <w:color w:val="auto"/>
              </w:rPr>
              <w:t>Consolidated Statements of Operations for the Three Months Ended March 31, 2010 and March 31, 2009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 Three Months Ended March 31, 2010 and March 31, 2009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898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898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898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898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898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8"/>
                <w:szCs w:val="18"/>
                <w:color w:val="auto"/>
              </w:rPr>
              <w:t>Signatures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8980" w:type="dxa"/>
            <w:vAlign w:val="bottom"/>
          </w:tcPr>
          <w:p>
            <w:pPr>
              <w:ind w:left="47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00" w:type="dxa"/>
            <w:vAlign w:val="bottom"/>
            <w:tcBorders>
              <w:bottom w:val="single" w:sz="8" w:color="808080"/>
            </w:tcBorders>
          </w:tcPr>
          <w:p>
            <w:pPr>
              <w:spacing w:after="0"/>
              <w:rPr>
                <w:sz w:val="9"/>
                <w:szCs w:val="9"/>
                <w:color w:val="auto"/>
              </w:rPr>
            </w:pPr>
          </w:p>
        </w:tc>
        <w:tc>
          <w:tcPr>
            <w:tcW w:w="89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39,020</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39,669</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44,806</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0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418"/>
        </w:trPr>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w w:val="94"/>
              </w:rPr>
              <w:t>Common stock, $.01 par value; 70,000,000 shares authorized; issued and outstanding 19,926,970 as of March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2010 and 19,809,315 as of December 31,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76,215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(27,849)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(27,870)</w:t>
            </w:r>
          </w:p>
        </w:tc>
        <w:tc>
          <w:tcPr>
            <w:tcW w:w="0" w:type="dxa"/>
            <w:vAlign w:val="bottom"/>
          </w:tcPr>
          <w:p>
            <w:pPr>
              <w:spacing w:after="0"/>
              <w:rPr>
                <w:sz w:val="1"/>
                <w:szCs w:val="1"/>
                <w:color w:val="auto"/>
              </w:rPr>
            </w:pPr>
          </w:p>
        </w:tc>
      </w:tr>
      <w:tr>
        <w:trPr>
          <w:trHeight w:val="223"/>
        </w:trPr>
        <w:tc>
          <w:tcPr>
            <w:tcW w:w="880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48,565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51,506</w:t>
            </w:r>
          </w:p>
        </w:tc>
        <w:tc>
          <w:tcPr>
            <w:tcW w:w="120" w:type="dxa"/>
            <w:vAlign w:val="bottom"/>
          </w:tcPr>
          <w:p>
            <w:pPr>
              <w:spacing w:after="0"/>
              <w:rPr>
                <w:sz w:val="24"/>
                <w:szCs w:val="2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51,454</w:t>
            </w:r>
          </w:p>
        </w:tc>
        <w:tc>
          <w:tcPr>
            <w:tcW w:w="0" w:type="dxa"/>
            <w:vAlign w:val="bottom"/>
          </w:tcPr>
          <w:p>
            <w:pPr>
              <w:spacing w:after="0"/>
              <w:rPr>
                <w:sz w:val="1"/>
                <w:szCs w:val="1"/>
                <w:color w:val="auto"/>
              </w:rPr>
            </w:pPr>
          </w:p>
        </w:tc>
      </w:tr>
      <w:tr>
        <w:trPr>
          <w:trHeight w:val="21"/>
        </w:trPr>
        <w:tc>
          <w:tcPr>
            <w:tcW w:w="8800" w:type="dxa"/>
            <w:vAlign w:val="bottom"/>
            <w:vMerge w:val="restart"/>
          </w:tcPr>
          <w:p>
            <w:pPr>
              <w:ind w:left="2640"/>
              <w:spacing w:after="0"/>
              <w:rPr>
                <w:sz w:val="20"/>
                <w:szCs w:val="20"/>
                <w:color w:val="auto"/>
              </w:rPr>
            </w:pPr>
            <w:r>
              <w:rPr>
                <w:rFonts w:ascii="Arial" w:cs="Arial" w:eastAsia="Arial" w:hAnsi="Arial"/>
                <w:sz w:val="18"/>
                <w:szCs w:val="18"/>
                <w:color w:val="auto"/>
                <w:w w:val="89"/>
              </w:rPr>
              <w:t>The accompanying notes are an integral part of the consolidated financial statements.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tcPr>
          <w:p>
            <w:pPr>
              <w:ind w:left="56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4,651</w:t>
            </w:r>
          </w:p>
        </w:tc>
        <w:tc>
          <w:tcPr>
            <w:tcW w:w="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2,819</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Contract revenue</w:t>
            </w:r>
          </w:p>
        </w:tc>
        <w:tc>
          <w:tcPr>
            <w:tcW w:w="2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1,277</w:t>
            </w: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r>
      <w:tr>
        <w:trPr>
          <w:trHeight w:val="230"/>
        </w:trPr>
        <w:tc>
          <w:tcPr>
            <w:tcW w:w="882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60" w:type="dxa"/>
            <w:vAlign w:val="bottom"/>
          </w:tcPr>
          <w:p>
            <w:pPr>
              <w:spacing w:after="0"/>
              <w:rPr>
                <w:sz w:val="20"/>
                <w:szCs w:val="20"/>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Cost of contract revenue</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3,111</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1,213</w:t>
            </w:r>
          </w:p>
        </w:tc>
      </w:tr>
      <w:tr>
        <w:trPr>
          <w:trHeight w:val="230"/>
        </w:trPr>
        <w:tc>
          <w:tcPr>
            <w:tcW w:w="882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6,826</w:t>
            </w:r>
          </w:p>
        </w:tc>
        <w:tc>
          <w:tcPr>
            <w:tcW w:w="60" w:type="dxa"/>
            <w:vAlign w:val="bottom"/>
          </w:tcPr>
          <w:p>
            <w:pPr>
              <w:spacing w:after="0"/>
              <w:rPr>
                <w:sz w:val="20"/>
                <w:szCs w:val="20"/>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(2,253)</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(2,128)</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(2,131)</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882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19,913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23,281</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19,923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23,281</w:t>
            </w: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Increase (decrease) from changes in assets and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88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800" w:type="dxa"/>
            <w:vAlign w:val="bottom"/>
          </w:tcPr>
          <w:p>
            <w:pPr>
              <w:ind w:left="50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8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880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8800" w:type="dxa"/>
            <w:vAlign w:val="bottom"/>
          </w:tcPr>
          <w:p>
            <w:pPr>
              <w:ind w:left="6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Expenses from sale of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Shares surrendered by employees to pay taxes related to unrestricted stock</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39,669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39,020</w:t>
            </w:r>
          </w:p>
        </w:tc>
        <w:tc>
          <w:tcPr>
            <w:tcW w:w="120" w:type="dxa"/>
            <w:vAlign w:val="bottom"/>
          </w:tcPr>
          <w:p>
            <w:pPr>
              <w:spacing w:after="0"/>
              <w:rPr>
                <w:sz w:val="24"/>
                <w:szCs w:val="2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42,513</w:t>
            </w:r>
          </w:p>
        </w:tc>
        <w:tc>
          <w:tcPr>
            <w:tcW w:w="0" w:type="dxa"/>
            <w:vAlign w:val="bottom"/>
          </w:tcPr>
          <w:p>
            <w:pPr>
              <w:spacing w:after="0"/>
              <w:rPr>
                <w:sz w:val="1"/>
                <w:szCs w:val="1"/>
                <w:color w:val="auto"/>
              </w:rPr>
            </w:pPr>
          </w:p>
        </w:tc>
      </w:tr>
      <w:tr>
        <w:trPr>
          <w:trHeight w:val="21"/>
        </w:trPr>
        <w:tc>
          <w:tcPr>
            <w:tcW w:w="8800" w:type="dxa"/>
            <w:vAlign w:val="bottom"/>
            <w:vMerge w:val="restart"/>
          </w:tcPr>
          <w:p>
            <w:pPr>
              <w:ind w:left="2640"/>
              <w:spacing w:after="0"/>
              <w:rPr>
                <w:sz w:val="20"/>
                <w:szCs w:val="20"/>
                <w:color w:val="auto"/>
              </w:rPr>
            </w:pPr>
            <w:r>
              <w:rPr>
                <w:rFonts w:ascii="Arial" w:cs="Arial" w:eastAsia="Arial" w:hAnsi="Arial"/>
                <w:sz w:val="18"/>
                <w:szCs w:val="18"/>
                <w:color w:val="auto"/>
                <w:w w:val="89"/>
              </w:rPr>
              <w:t>The accompanying notes are an integral part of the consolidated financial statements.</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tcPr>
          <w:p>
            <w:pPr>
              <w:ind w:left="56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812" w:hanging="812"/>
        <w:spacing w:after="0"/>
        <w:tabs>
          <w:tab w:leader="none" w:pos="812"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w:t>
      </w:r>
    </w:p>
    <w:p>
      <w:pPr>
        <w:spacing w:after="0" w:line="225" w:lineRule="exact"/>
        <w:rPr>
          <w:rFonts w:ascii="Arial" w:cs="Arial" w:eastAsia="Arial" w:hAnsi="Arial"/>
          <w:sz w:val="18"/>
          <w:szCs w:val="18"/>
          <w:color w:val="auto"/>
        </w:rPr>
      </w:pPr>
    </w:p>
    <w:p>
      <w:pPr>
        <w:jc w:val="both"/>
        <w:ind w:left="812" w:right="20"/>
        <w:spacing w:after="0" w:line="264" w:lineRule="auto"/>
        <w:rPr>
          <w:rFonts w:ascii="Arial" w:cs="Arial" w:eastAsia="Arial" w:hAnsi="Arial"/>
          <w:sz w:val="18"/>
          <w:szCs w:val="18"/>
          <w:color w:val="auto"/>
        </w:rPr>
      </w:pPr>
      <w:r>
        <w:rPr>
          <w:rFonts w:ascii="Arial" w:cs="Arial" w:eastAsia="Arial" w:hAnsi="Arial"/>
          <w:sz w:val="18"/>
          <w:szCs w:val="18"/>
          <w:color w:val="auto"/>
        </w:rPr>
        <w:t>The accompanying unaudited consolidated balance sheet, statements of operations, and statements of cash flows reflect all adjustments (consisting only of normal recurring items) which are, in the opinion of management, necessary for a fair presentation of financial position at March 31, 2010, and of operations and cash flows for the interim periods ended March 31, 2010 and 2009.</w:t>
      </w:r>
    </w:p>
    <w:p>
      <w:pPr>
        <w:spacing w:after="0" w:line="181" w:lineRule="exact"/>
        <w:rPr>
          <w:rFonts w:ascii="Arial" w:cs="Arial" w:eastAsia="Arial" w:hAnsi="Arial"/>
          <w:sz w:val="18"/>
          <w:szCs w:val="18"/>
          <w:color w:val="auto"/>
        </w:rPr>
      </w:pPr>
    </w:p>
    <w:p>
      <w:pPr>
        <w:jc w:val="both"/>
        <w:ind w:left="812"/>
        <w:spacing w:after="0" w:line="257" w:lineRule="auto"/>
        <w:rPr>
          <w:rFonts w:ascii="Arial" w:cs="Arial" w:eastAsia="Arial" w:hAnsi="Arial"/>
          <w:sz w:val="18"/>
          <w:szCs w:val="18"/>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2009 in conjunction with our 2009 Annual Report on Form 10-K. This Form 10-Q should be read in conjunction with that Form 10-K.</w:t>
      </w:r>
    </w:p>
    <w:p>
      <w:pPr>
        <w:spacing w:after="0" w:line="188" w:lineRule="exact"/>
        <w:rPr>
          <w:rFonts w:ascii="Arial" w:cs="Arial" w:eastAsia="Arial" w:hAnsi="Arial"/>
          <w:sz w:val="18"/>
          <w:szCs w:val="18"/>
          <w:color w:val="auto"/>
        </w:rPr>
      </w:pPr>
    </w:p>
    <w:p>
      <w:pPr>
        <w:ind w:left="812"/>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March 31, 2010 are not necessarily indicative of the results to be expected for the year.</w:t>
      </w:r>
    </w:p>
    <w:p>
      <w:pPr>
        <w:spacing w:after="0" w:line="236" w:lineRule="exact"/>
        <w:rPr>
          <w:rFonts w:ascii="Arial" w:cs="Arial" w:eastAsia="Arial" w:hAnsi="Arial"/>
          <w:sz w:val="18"/>
          <w:szCs w:val="18"/>
          <w:color w:val="auto"/>
        </w:rPr>
      </w:pPr>
    </w:p>
    <w:p>
      <w:pPr>
        <w:ind w:left="812" w:hanging="812"/>
        <w:spacing w:after="0"/>
        <w:tabs>
          <w:tab w:leader="none" w:pos="812"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w:t>
      </w:r>
    </w:p>
    <w:p>
      <w:pPr>
        <w:spacing w:after="0" w:line="225" w:lineRule="exact"/>
        <w:rPr>
          <w:rFonts w:ascii="Arial" w:cs="Arial" w:eastAsia="Arial" w:hAnsi="Arial"/>
          <w:sz w:val="18"/>
          <w:szCs w:val="18"/>
          <w:color w:val="auto"/>
        </w:rPr>
      </w:pPr>
    </w:p>
    <w:p>
      <w:pPr>
        <w:jc w:val="both"/>
        <w:ind w:left="812"/>
        <w:spacing w:after="0" w:line="257" w:lineRule="auto"/>
        <w:rPr>
          <w:rFonts w:ascii="Arial" w:cs="Arial" w:eastAsia="Arial" w:hAnsi="Arial"/>
          <w:sz w:val="18"/>
          <w:szCs w:val="18"/>
          <w:color w:val="auto"/>
        </w:rPr>
      </w:pPr>
      <w:r>
        <w:rPr>
          <w:rFonts w:ascii="Arial" w:cs="Arial" w:eastAsia="Arial" w:hAnsi="Arial"/>
          <w:sz w:val="18"/>
          <w:szCs w:val="18"/>
          <w:color w:val="auto"/>
        </w:rPr>
        <w:t>The FASB issued authoritative guidance for fair value measurements in September 2006, which defines fair value, establishes a framework for measuring fair value, and expands disclosures assets and liabilities measured at fair value in financial statements. This guidance is set forth in FASB Accounting Standards Codification 820 (ASC 820). We adopted the provisions of ASC 820 as of January 1, 2008, for our financial instruments. Although the adoption of ASC 820 did not materially impact our financial condition, results of operations, or cash flow, we are now required to provide additional disclosures as part of our financial statements.</w:t>
      </w:r>
    </w:p>
    <w:p>
      <w:pPr>
        <w:spacing w:after="0" w:line="188" w:lineRule="exact"/>
        <w:rPr>
          <w:rFonts w:ascii="Arial" w:cs="Arial" w:eastAsia="Arial" w:hAnsi="Arial"/>
          <w:sz w:val="18"/>
          <w:szCs w:val="18"/>
          <w:color w:val="auto"/>
        </w:rPr>
      </w:pPr>
    </w:p>
    <w:p>
      <w:pPr>
        <w:jc w:val="both"/>
        <w:ind w:left="812"/>
        <w:spacing w:after="0" w:line="259" w:lineRule="auto"/>
        <w:rPr>
          <w:rFonts w:ascii="Arial" w:cs="Arial" w:eastAsia="Arial" w:hAnsi="Arial"/>
          <w:sz w:val="18"/>
          <w:szCs w:val="18"/>
          <w:color w:val="auto"/>
        </w:rPr>
      </w:pPr>
      <w:r>
        <w:rPr>
          <w:rFonts w:ascii="Arial" w:cs="Arial" w:eastAsia="Arial" w:hAnsi="Arial"/>
          <w:sz w:val="18"/>
          <w:szCs w:val="18"/>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6" w:lineRule="exact"/>
        <w:rPr>
          <w:rFonts w:ascii="Arial" w:cs="Arial" w:eastAsia="Arial" w:hAnsi="Arial"/>
          <w:sz w:val="18"/>
          <w:szCs w:val="18"/>
          <w:color w:val="auto"/>
        </w:rPr>
      </w:pPr>
    </w:p>
    <w:p>
      <w:pPr>
        <w:ind w:left="812"/>
        <w:spacing w:after="0" w:line="277" w:lineRule="auto"/>
        <w:rPr>
          <w:rFonts w:ascii="Arial" w:cs="Arial" w:eastAsia="Arial" w:hAnsi="Arial"/>
          <w:sz w:val="18"/>
          <w:szCs w:val="18"/>
          <w:color w:val="auto"/>
        </w:rPr>
      </w:pPr>
      <w:r>
        <w:rPr>
          <w:rFonts w:ascii="Arial" w:cs="Arial" w:eastAsia="Arial" w:hAnsi="Arial"/>
          <w:sz w:val="18"/>
          <w:szCs w:val="18"/>
          <w:color w:val="auto"/>
        </w:rPr>
        <w:t>For recognition purposes, on a recurring basis we are required to measure available for sale investments at fair value. We had no available for sale investments as of March 31, 2010 or December 31, 2009.</w:t>
      </w:r>
    </w:p>
    <w:p>
      <w:pPr>
        <w:spacing w:after="0" w:line="170" w:lineRule="exact"/>
        <w:rPr>
          <w:rFonts w:ascii="Arial" w:cs="Arial" w:eastAsia="Arial" w:hAnsi="Arial"/>
          <w:sz w:val="18"/>
          <w:szCs w:val="18"/>
          <w:color w:val="auto"/>
        </w:rPr>
      </w:pPr>
    </w:p>
    <w:p>
      <w:pPr>
        <w:jc w:val="both"/>
        <w:ind w:left="812" w:right="20"/>
        <w:spacing w:after="0" w:line="264" w:lineRule="auto"/>
        <w:rPr>
          <w:rFonts w:ascii="Arial" w:cs="Arial" w:eastAsia="Arial" w:hAnsi="Arial"/>
          <w:sz w:val="18"/>
          <w:szCs w:val="18"/>
          <w:color w:val="auto"/>
        </w:rPr>
      </w:pPr>
      <w:r>
        <w:rPr>
          <w:rFonts w:ascii="Arial" w:cs="Arial" w:eastAsia="Arial" w:hAnsi="Arial"/>
          <w:sz w:val="18"/>
          <w:szCs w:val="18"/>
          <w:color w:val="auto"/>
        </w:rPr>
        <w:t>Our cash and cash equivalents, including money market securities, were $39.0 million and $39.7 million as of March 31, 2010 and December 31, 2009, respectively. We classified our cash and cash equivalents within Level 1 of the fair value hierarchy because they are valued using quoted market prices.</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6" w:name="page7"/>
    <w:bookmarkEnd w:id="6"/>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Inventories</w:t>
      </w:r>
    </w:p>
    <w:p>
      <w:pPr>
        <w:spacing w:after="0" w:line="225" w:lineRule="exact"/>
        <w:rPr>
          <w:rFonts w:ascii="Arial" w:cs="Arial" w:eastAsia="Arial" w:hAnsi="Arial"/>
          <w:sz w:val="18"/>
          <w:szCs w:val="18"/>
          <w:color w:val="auto"/>
        </w:rPr>
      </w:pPr>
    </w:p>
    <w:p>
      <w:pPr>
        <w:ind w:left="820"/>
        <w:spacing w:after="0" w:line="308" w:lineRule="auto"/>
        <w:rPr>
          <w:rFonts w:ascii="Arial" w:cs="Arial" w:eastAsia="Arial" w:hAnsi="Arial"/>
          <w:sz w:val="18"/>
          <w:szCs w:val="18"/>
          <w:color w:val="auto"/>
        </w:rPr>
      </w:pPr>
      <w:r>
        <w:rPr>
          <w:rFonts w:ascii="Arial" w:cs="Arial" w:eastAsia="Arial" w:hAnsi="Arial"/>
          <w:sz w:val="17"/>
          <w:szCs w:val="17"/>
          <w:color w:val="auto"/>
        </w:rPr>
        <w:t>Inventories are stated at the lower of cost or net realizable value with cost being determined by the first-in, first-out (“FIFO”) method. Inventory reserves are established for estimated excess and obsolete inventory. Inventories consist primarily of the following (in thousands):</w:t>
      </w:r>
    </w:p>
    <w:p>
      <w:pPr>
        <w:spacing w:after="0" w:line="14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December</w:t>
      </w:r>
    </w:p>
    <w:p>
      <w:pPr>
        <w:spacing w:after="0" w:line="27" w:lineRule="exact"/>
        <w:rPr>
          <w:sz w:val="20"/>
          <w:szCs w:val="20"/>
          <w:color w:val="auto"/>
        </w:rPr>
      </w:pPr>
    </w:p>
    <w:p>
      <w:pPr>
        <w:ind w:left="6540"/>
        <w:spacing w:after="0"/>
        <w:tabs>
          <w:tab w:leader="none" w:pos="788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31,</w:t>
      </w:r>
    </w:p>
    <w:p>
      <w:pPr>
        <w:spacing w:after="0" w:line="9" w:lineRule="exact"/>
        <w:rPr>
          <w:sz w:val="20"/>
          <w:szCs w:val="20"/>
          <w:color w:val="auto"/>
        </w:rPr>
      </w:pPr>
    </w:p>
    <w:p>
      <w:pPr>
        <w:ind w:left="6760"/>
        <w:spacing w:after="0"/>
        <w:tabs>
          <w:tab w:leader="none" w:pos="780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p>
    <w:p>
      <w:pPr>
        <w:spacing w:after="0" w:line="29" w:lineRule="exact"/>
        <w:rPr>
          <w:sz w:val="20"/>
          <w:szCs w:val="20"/>
          <w:color w:val="auto"/>
        </w:rPr>
      </w:pPr>
    </w:p>
    <w:tbl>
      <w:tblPr>
        <w:tblLayout w:type="fixed"/>
        <w:tblInd w:w="2860" w:type="dxa"/>
        <w:tblCellMar>
          <w:top w:w="0" w:type="dxa"/>
          <w:left w:w="0" w:type="dxa"/>
          <w:bottom w:w="0" w:type="dxa"/>
          <w:right w:w="0" w:type="dxa"/>
        </w:tblCellMar>
      </w:tblPr>
      <w:tr>
        <w:trPr>
          <w:trHeight w:val="20"/>
        </w:trPr>
        <w:tc>
          <w:tcPr>
            <w:tcW w:w="36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89"/>
        </w:trPr>
        <w:tc>
          <w:tcPr>
            <w:tcW w:w="3640" w:type="dxa"/>
            <w:vAlign w:val="bottom"/>
          </w:tcPr>
          <w:p>
            <w:pPr>
              <w:spacing w:after="0" w:line="189" w:lineRule="exact"/>
              <w:rPr>
                <w:sz w:val="20"/>
                <w:szCs w:val="20"/>
                <w:color w:val="auto"/>
              </w:rPr>
            </w:pPr>
            <w:r>
              <w:rPr>
                <w:rFonts w:ascii="Arial" w:cs="Arial" w:eastAsia="Arial" w:hAnsi="Arial"/>
                <w:sz w:val="18"/>
                <w:szCs w:val="18"/>
                <w:color w:val="auto"/>
              </w:rPr>
              <w:t>Raw materials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1,089</w:t>
            </w:r>
          </w:p>
        </w:tc>
        <w:tc>
          <w:tcPr>
            <w:tcW w:w="440" w:type="dxa"/>
            <w:vAlign w:val="bottom"/>
            <w:gridSpan w:val="2"/>
          </w:tcPr>
          <w:p>
            <w:pPr>
              <w:jc w:val="right"/>
              <w:ind w:right="165"/>
              <w:spacing w:after="0" w:line="189"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1,112</w:t>
            </w: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4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Computation of Earnings per Share</w:t>
      </w:r>
    </w:p>
    <w:p>
      <w:pPr>
        <w:spacing w:after="0" w:line="225" w:lineRule="exact"/>
        <w:rPr>
          <w:rFonts w:ascii="Arial" w:cs="Arial" w:eastAsia="Arial" w:hAnsi="Arial"/>
          <w:sz w:val="18"/>
          <w:szCs w:val="18"/>
          <w:color w:val="auto"/>
        </w:rPr>
      </w:pPr>
    </w:p>
    <w:p>
      <w:pPr>
        <w:jc w:val="both"/>
        <w:ind w:left="820"/>
        <w:spacing w:after="0" w:line="257" w:lineRule="auto"/>
        <w:rPr>
          <w:rFonts w:ascii="Arial" w:cs="Arial" w:eastAsia="Arial" w:hAnsi="Arial"/>
          <w:sz w:val="18"/>
          <w:szCs w:val="18"/>
          <w:color w:val="auto"/>
        </w:rPr>
      </w:pPr>
      <w:r>
        <w:rPr>
          <w:rFonts w:ascii="Arial" w:cs="Arial" w:eastAsia="Arial" w:hAnsi="Arial"/>
          <w:sz w:val="18"/>
          <w:szCs w:val="18"/>
          <w:color w:val="auto"/>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18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Net income (loss) per share is calculated as follows (in thousands, except per share data):</w:t>
      </w:r>
    </w:p>
    <w:p>
      <w:pPr>
        <w:spacing w:after="0" w:line="24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(2,131)</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19,913</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23,281</w:t>
            </w:r>
          </w:p>
        </w:tc>
        <w:tc>
          <w:tcPr>
            <w:tcW w:w="40" w:type="dxa"/>
            <w:vAlign w:val="bottom"/>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Additional dilutive common stock</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19,923</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23,281</w:t>
            </w:r>
          </w:p>
        </w:tc>
        <w:tc>
          <w:tcPr>
            <w:tcW w:w="40" w:type="dxa"/>
            <w:vAlign w:val="bottom"/>
          </w:tcPr>
          <w:p>
            <w:pPr>
              <w:spacing w:after="0"/>
              <w:rPr>
                <w:sz w:val="18"/>
                <w:szCs w:val="18"/>
                <w:color w:val="auto"/>
              </w:rPr>
            </w:pPr>
          </w:p>
        </w:tc>
      </w:tr>
      <w:tr>
        <w:trPr>
          <w:trHeight w:val="21"/>
        </w:trPr>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294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1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0.00</w:t>
            </w:r>
          </w:p>
        </w:tc>
        <w:tc>
          <w:tcPr>
            <w:tcW w:w="10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w w:val="99"/>
              </w:rPr>
              <w:t>Net income (loss) per share – diluted</w:t>
            </w:r>
          </w:p>
        </w:tc>
        <w:tc>
          <w:tcPr>
            <w:tcW w:w="11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0.00</w:t>
            </w:r>
          </w:p>
        </w:tc>
        <w:tc>
          <w:tcPr>
            <w:tcW w:w="10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(0.09)</w:t>
            </w:r>
          </w:p>
        </w:tc>
      </w:tr>
    </w:tbl>
    <w:p>
      <w:pPr>
        <w:spacing w:after="0" w:line="202"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For the three month period ended March 31, 2009, potential common stock equivalents of 195 were not included in the per share calculation for diluted EPS, because we had a net loss and the effect of their inclusion would be anti-dilutive.</w:t>
      </w:r>
    </w:p>
    <w:p>
      <w:pPr>
        <w:spacing w:after="0" w:line="170"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For the three month periods ended March 31, 2010 and 2009, options to purchase 4,958,841 and 7,499,993 shares of common stock, respectively, were outstanding, but were not included in the computation of diluted EPS because the options’ exercise prices were greater than the average market price of the common stock and thus would be anti-dilutive.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rFonts w:ascii="Arial" w:cs="Arial" w:eastAsia="Arial" w:hAnsi="Arial"/>
          <w:sz w:val="18"/>
          <w:szCs w:val="18"/>
          <w:color w:val="auto"/>
        </w:rPr>
      </w:pPr>
    </w:p>
    <w:p>
      <w:pPr>
        <w:ind w:left="82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presents stock-based employee compensation expenses included in our unaudited consolidated statements of operations (in thousands):</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Cost of product sales</w:t>
            </w:r>
          </w:p>
        </w:tc>
        <w:tc>
          <w:tcPr>
            <w:tcW w:w="900" w:type="dxa"/>
            <w:vAlign w:val="bottom"/>
            <w:gridSpan w:val="2"/>
          </w:tcPr>
          <w:p>
            <w:pPr>
              <w:jc w:val="right"/>
              <w:ind w:right="743"/>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Cost of contract revenue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398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r>
      <w:tr>
        <w:trPr>
          <w:trHeight w:val="21"/>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We estimate the fair value of stock options using the Black-Scholes valuation model. This valuation model takes into account the exercise price of the award, as well as a variety of significant assumptions. These assumptions used to estimate the fair value of stock options include the expected term, the expected volatility of our stock over the expected term, the risk-free interest rate over the expected term, and our expected annual dividend yield. The Company believes that the valuation technique and the approach utilized to develop the underlying assumptions are appropriate in calculating the fair values of the Company’s stock options granted in the three months ended March 31, 2009. No options were granted in the three months ended March 31, 2010. Estimates of fair va lue are not intended to predict actual future events or the value ultimately realized by persons who receive equity awards.</w:t>
      </w:r>
    </w:p>
    <w:p>
      <w:pPr>
        <w:spacing w:after="0" w:line="189" w:lineRule="exact"/>
        <w:rPr>
          <w:sz w:val="20"/>
          <w:szCs w:val="20"/>
          <w:color w:val="auto"/>
        </w:rPr>
      </w:pPr>
    </w:p>
    <w:p>
      <w:pPr>
        <w:jc w:val="both"/>
        <w:ind w:left="820"/>
        <w:spacing w:after="0" w:line="312" w:lineRule="auto"/>
        <w:rPr>
          <w:sz w:val="20"/>
          <w:szCs w:val="20"/>
          <w:color w:val="auto"/>
        </w:rPr>
      </w:pPr>
      <w:r>
        <w:rPr>
          <w:rFonts w:ascii="Arial" w:cs="Arial" w:eastAsia="Arial" w:hAnsi="Arial"/>
          <w:sz w:val="16"/>
          <w:szCs w:val="16"/>
          <w:color w:val="auto"/>
        </w:rPr>
        <w:t>In January 2010, we completed an employee option exchange program. Under the terms of the program, eligible 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w:t>
      </w:r>
    </w:p>
    <w:p>
      <w:pPr>
        <w:spacing w:after="0" w:line="147"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When the program ended on January 12, 2010, eligible employees had exchanged 820,481 stock options for 178,314 shares of common stock. Participating employees were allowed to surrender a portion of their common stock in return for the Company paying withholding taxes related to their stock grants. As a result of this provision, employees surrendered 60,659 shares of common stock and the Company paid approximately $161,000 of withholding taxes on their behalf. After the common stock share surrender, 117,655 net shares of common stock were issued to participating employees.</w:t>
      </w:r>
    </w:p>
    <w:p>
      <w:pPr>
        <w:spacing w:after="0" w:line="188" w:lineRule="exact"/>
        <w:rPr>
          <w:sz w:val="20"/>
          <w:szCs w:val="20"/>
          <w:color w:val="auto"/>
        </w:rPr>
      </w:pPr>
    </w:p>
    <w:p>
      <w:pPr>
        <w:jc w:val="both"/>
        <w:ind w:left="820"/>
        <w:spacing w:after="0" w:line="308" w:lineRule="auto"/>
        <w:rPr>
          <w:sz w:val="20"/>
          <w:szCs w:val="20"/>
          <w:color w:val="auto"/>
        </w:rPr>
      </w:pPr>
      <w:r>
        <w:rPr>
          <w:rFonts w:ascii="Arial" w:cs="Arial" w:eastAsia="Arial" w:hAnsi="Arial"/>
          <w:sz w:val="17"/>
          <w:szCs w:val="17"/>
          <w:color w:val="auto"/>
        </w:rPr>
        <w:t>A portion of the 820,481 stock options that were exchanged were not fully vested as of the exchange date. We expensed approximately $102,000 of unamortized stock-based compensation related to such unvested stock options in the three months ended March 31, 2010.</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We organize our self as one segment and conduct our operations in the United States.</w:t>
      </w:r>
    </w:p>
    <w:p>
      <w:pPr>
        <w:spacing w:after="0" w:line="225" w:lineRule="exact"/>
        <w:rPr>
          <w:rFonts w:ascii="Arial" w:cs="Arial" w:eastAsia="Arial" w:hAnsi="Arial"/>
          <w:sz w:val="18"/>
          <w:szCs w:val="18"/>
          <w:color w:val="auto"/>
        </w:rPr>
      </w:pPr>
    </w:p>
    <w:p>
      <w:pPr>
        <w:ind w:left="820"/>
        <w:spacing w:after="0" w:line="277" w:lineRule="auto"/>
        <w:rPr>
          <w:rFonts w:ascii="Arial" w:cs="Arial" w:eastAsia="Arial" w:hAnsi="Arial"/>
          <w:sz w:val="18"/>
          <w:szCs w:val="18"/>
          <w:color w:val="auto"/>
        </w:rPr>
      </w:pPr>
      <w:r>
        <w:rPr>
          <w:rFonts w:ascii="Arial" w:cs="Arial" w:eastAsia="Arial" w:hAnsi="Arial"/>
          <w:sz w:val="18"/>
          <w:szCs w:val="18"/>
          <w:color w:val="auto"/>
        </w:rPr>
        <w:t>We sell our products and technology to domestic and international customers. Revenues were generated from the following geographic regions (in thousands):</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4"/>
          </w:tcPr>
          <w:p>
            <w:pPr>
              <w:jc w:val="right"/>
              <w:ind w:right="17"/>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r>
      <w:tr>
        <w:trPr>
          <w:trHeight w:val="223"/>
        </w:trPr>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bottom w:val="single" w:sz="8" w:color="auto"/>
            </w:tcBorders>
          </w:tcPr>
          <w:p>
            <w:pPr>
              <w:spacing w:after="0"/>
              <w:rPr>
                <w:sz w:val="19"/>
                <w:szCs w:val="19"/>
                <w:color w:val="auto"/>
              </w:rPr>
            </w:pPr>
          </w:p>
        </w:tc>
      </w:tr>
      <w:tr>
        <w:trPr>
          <w:trHeight w:val="418"/>
        </w:trPr>
        <w:tc>
          <w:tcPr>
            <w:tcW w:w="2900" w:type="dxa"/>
            <w:vAlign w:val="bottom"/>
          </w:tcPr>
          <w:p>
            <w:pPr>
              <w:spacing w:after="0"/>
              <w:rPr>
                <w:sz w:val="20"/>
                <w:szCs w:val="20"/>
                <w:color w:val="auto"/>
              </w:rPr>
            </w:pPr>
            <w:r>
              <w:rPr>
                <w:rFonts w:ascii="Arial" w:cs="Arial" w:eastAsia="Arial" w:hAnsi="Arial"/>
                <w:sz w:val="18"/>
                <w:szCs w:val="18"/>
                <w:color w:val="auto"/>
              </w:rPr>
              <w:t>United States</w:t>
            </w:r>
          </w:p>
        </w:tc>
        <w:tc>
          <w:tcPr>
            <w:tcW w:w="820" w:type="dxa"/>
            <w:vAlign w:val="bottom"/>
            <w:gridSpan w:val="2"/>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3,452</w:t>
            </w:r>
          </w:p>
        </w:tc>
        <w:tc>
          <w:tcPr>
            <w:tcW w:w="102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2,525</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1,034</w:t>
            </w:r>
          </w:p>
        </w:tc>
      </w:tr>
      <w:tr>
        <w:trPr>
          <w:trHeight w:val="237"/>
        </w:trPr>
        <w:tc>
          <w:tcPr>
            <w:tcW w:w="290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1,520</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1,014</w:t>
            </w:r>
          </w:p>
        </w:tc>
      </w:tr>
      <w:tr>
        <w:trPr>
          <w:trHeight w:val="216"/>
        </w:trPr>
        <w:tc>
          <w:tcPr>
            <w:tcW w:w="29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3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5,616</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69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4,573</w:t>
            </w:r>
          </w:p>
        </w:tc>
      </w:tr>
      <w:tr>
        <w:trPr>
          <w:trHeight w:val="21"/>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rFonts w:ascii="Arial" w:cs="Arial" w:eastAsia="Arial" w:hAnsi="Arial"/>
          <w:sz w:val="18"/>
          <w:szCs w:val="18"/>
          <w:color w:val="auto"/>
        </w:rPr>
      </w:pPr>
    </w:p>
    <w:p>
      <w:pPr>
        <w:jc w:val="both"/>
        <w:ind w:left="820"/>
        <w:spacing w:after="0" w:line="302" w:lineRule="auto"/>
        <w:rPr>
          <w:rFonts w:ascii="Arial" w:cs="Arial" w:eastAsia="Arial" w:hAnsi="Arial"/>
          <w:sz w:val="18"/>
          <w:szCs w:val="18"/>
          <w:color w:val="auto"/>
        </w:rPr>
      </w:pPr>
      <w:r>
        <w:rPr>
          <w:rFonts w:ascii="Arial" w:cs="Arial" w:eastAsia="Arial" w:hAnsi="Arial"/>
          <w:sz w:val="16"/>
          <w:szCs w:val="16"/>
          <w:color w:val="auto"/>
        </w:rPr>
        <w:t>As of December 31, 2009, we had federal net operating loss (“NOLs”) and research and experimentation credit carryforwards of approximately $47.6 million and $13.4 million respectively, which may be available to offset future federal income tax liabilities and expire at various dates from 2010 through 2029. In addition, at December 31, 2009, we had approximately $10.3 million and $7.1 million of state net operating losses and state research and development and investment tax carryforwards, respectively, which expire at various dates from 2010 through 2024.</w:t>
      </w:r>
    </w:p>
    <w:p>
      <w:pPr>
        <w:spacing w:after="0" w:line="154" w:lineRule="exact"/>
        <w:rPr>
          <w:rFonts w:ascii="Arial" w:cs="Arial" w:eastAsia="Arial" w:hAnsi="Arial"/>
          <w:sz w:val="18"/>
          <w:szCs w:val="18"/>
          <w:color w:val="auto"/>
        </w:rPr>
      </w:pPr>
    </w:p>
    <w:p>
      <w:pPr>
        <w:jc w:val="both"/>
        <w:ind w:left="820"/>
        <w:spacing w:after="0" w:line="264" w:lineRule="auto"/>
        <w:rPr>
          <w:rFonts w:ascii="Arial" w:cs="Arial" w:eastAsia="Arial" w:hAnsi="Arial"/>
          <w:sz w:val="18"/>
          <w:szCs w:val="18"/>
          <w:color w:val="auto"/>
        </w:rPr>
      </w:pPr>
      <w:r>
        <w:rPr>
          <w:rFonts w:ascii="Arial" w:cs="Arial" w:eastAsia="Arial" w:hAnsi="Arial"/>
          <w:sz w:val="18"/>
          <w:szCs w:val="18"/>
          <w:color w:val="auto"/>
        </w:rPr>
        <w:t>Based on an analysis that we performed under Internal Revenue Code Section 382 on our NOLs generated for the period 1997 through 2009, we have not experienced a change in ownership as defined by Section 382, and, therefore, the NOLs are not currently under any Section 382 limitation.</w:t>
      </w:r>
    </w:p>
    <w:p>
      <w:pPr>
        <w:spacing w:after="0" w:line="18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 Accounting Pronouncements</w:t>
      </w:r>
    </w:p>
    <w:p>
      <w:pPr>
        <w:spacing w:after="0" w:line="225" w:lineRule="exact"/>
        <w:rPr>
          <w:rFonts w:ascii="Arial" w:cs="Arial" w:eastAsia="Arial" w:hAnsi="Arial"/>
          <w:sz w:val="18"/>
          <w:szCs w:val="18"/>
          <w:color w:val="auto"/>
        </w:rPr>
      </w:pPr>
    </w:p>
    <w:p>
      <w:pPr>
        <w:ind w:left="820"/>
        <w:spacing w:after="0" w:line="342" w:lineRule="auto"/>
        <w:rPr>
          <w:rFonts w:ascii="Arial" w:cs="Arial" w:eastAsia="Arial" w:hAnsi="Arial"/>
          <w:sz w:val="18"/>
          <w:szCs w:val="18"/>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123" w:lineRule="exact"/>
        <w:rPr>
          <w:rFonts w:ascii="Arial" w:cs="Arial" w:eastAsia="Arial" w:hAnsi="Arial"/>
          <w:sz w:val="18"/>
          <w:szCs w:val="18"/>
          <w:color w:val="auto"/>
        </w:rPr>
      </w:pPr>
    </w:p>
    <w:p>
      <w:pPr>
        <w:jc w:val="both"/>
        <w:ind w:left="820"/>
        <w:spacing w:after="0" w:line="291" w:lineRule="auto"/>
        <w:rPr>
          <w:rFonts w:ascii="Arial" w:cs="Arial" w:eastAsia="Arial" w:hAnsi="Arial"/>
          <w:sz w:val="18"/>
          <w:szCs w:val="18"/>
          <w:color w:val="auto"/>
        </w:rPr>
      </w:pPr>
      <w:r>
        <w:rPr>
          <w:rFonts w:ascii="Arial" w:cs="Arial" w:eastAsia="Arial" w:hAnsi="Arial"/>
          <w:sz w:val="16"/>
          <w:szCs w:val="16"/>
          <w:color w:val="auto"/>
        </w:rPr>
        <w:t>In January 2010, the Financial Accounting Standards Board (“FASB”) issued Accounting Standards Update (“ASU”) 2010-06, “Improving Disclosures about Fair Value Measurements”.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2 010. Comparative disclosures are not required in the year of adoption. We adopted the provisions of the standard on January 1, 2010, which did not have a material impact on our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ind w:left="812" w:hanging="812"/>
        <w:spacing w:after="0"/>
        <w:tabs>
          <w:tab w:leader="none" w:pos="812"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Share Repurchase Program</w:t>
      </w:r>
    </w:p>
    <w:p>
      <w:pPr>
        <w:spacing w:after="0" w:line="225" w:lineRule="exact"/>
        <w:rPr>
          <w:rFonts w:ascii="Arial" w:cs="Arial" w:eastAsia="Arial" w:hAnsi="Arial"/>
          <w:sz w:val="18"/>
          <w:szCs w:val="18"/>
          <w:color w:val="auto"/>
        </w:rPr>
      </w:pPr>
    </w:p>
    <w:p>
      <w:pPr>
        <w:jc w:val="both"/>
        <w:ind w:left="812"/>
        <w:spacing w:after="0" w:line="259" w:lineRule="auto"/>
        <w:rPr>
          <w:rFonts w:ascii="Arial" w:cs="Arial" w:eastAsia="Arial" w:hAnsi="Arial"/>
          <w:sz w:val="18"/>
          <w:szCs w:val="18"/>
          <w:color w:val="auto"/>
        </w:rPr>
      </w:pPr>
      <w:r>
        <w:rPr>
          <w:rFonts w:ascii="Arial" w:cs="Arial" w:eastAsia="Arial" w:hAnsi="Arial"/>
          <w:sz w:val="18"/>
          <w:szCs w:val="18"/>
          <w:color w:val="auto"/>
        </w:rPr>
        <w:t>On March 5, 2009, we announced a modified Dutch auction self-tender offer to purchase up to 3,500,000 shares, or approximately 15%, of our outstanding common stock (including the associated preferred share purchase rights), at a price in the range of $2.20 to $2.60 per share, for a maximum aggregate purchase price of approximately $9.1 million. The terms of the tender offer also provided the right for us to purchase up to an additional 2% of our shares if the offer was oversubscribed.</w:t>
      </w:r>
    </w:p>
    <w:p>
      <w:pPr>
        <w:spacing w:after="0" w:line="186" w:lineRule="exact"/>
        <w:rPr>
          <w:rFonts w:ascii="Arial" w:cs="Arial" w:eastAsia="Arial" w:hAnsi="Arial"/>
          <w:sz w:val="18"/>
          <w:szCs w:val="18"/>
          <w:color w:val="auto"/>
        </w:rPr>
      </w:pPr>
    </w:p>
    <w:p>
      <w:pPr>
        <w:ind w:left="812"/>
        <w:spacing w:after="0" w:line="277" w:lineRule="auto"/>
        <w:rPr>
          <w:rFonts w:ascii="Arial" w:cs="Arial" w:eastAsia="Arial" w:hAnsi="Arial"/>
          <w:sz w:val="18"/>
          <w:szCs w:val="18"/>
          <w:color w:val="auto"/>
        </w:rPr>
      </w:pPr>
      <w:r>
        <w:rPr>
          <w:rFonts w:ascii="Arial" w:cs="Arial" w:eastAsia="Arial" w:hAnsi="Arial"/>
          <w:sz w:val="18"/>
          <w:szCs w:val="18"/>
          <w:color w:val="auto"/>
        </w:rPr>
        <w:t>The tender offer closed on April 17, 2009, and on April 23, 2009 we repurchased 3,500,252 shares at $2.50 per share for a total cost of $9.0 million, including expenses.</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this Form 10-Q, as well as any cautionary language in this Form 1 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Summary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historically organized ourselves as one segment with three product lines. Our product lines have included: i) DSL test and diagnostics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ii) biometrics products, and iii) licensing products.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test and diagnostics products consist of DSL hardware and software products that are used by telephone companies to improve the quality of their DSL service offerings. Our test and diagnostics products are typically sold to OEMs that incorporate our products into their products. Our OEM customers sell their equipment and software products to telephone companies. We also market our test and diagnostics software directly to telephone companies.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biometrics products consist of software and services used in biometric systems. Biometric systems are used by governments and enterprises to verify the identification of people. Biometrics systems are used in applications such as border control, secure credentialing, and background checks. We typically sell our biometrics software and services to OEMs and system integrators that incorporate our products into their biometrics hardware and software systems. We also sell a modest amount of medical imaging software that is included in our biometrics product line revenue.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licensing products have consisted of: i) DSL technology products, ii) home networking technology products, and iii) patents related to DSL, home networking and other technologies. Our technology products have been licensed to semiconductor companies that sell chipsets that incorporate our technology. Our patents are sold or licensed to third parties interested in acquiring such patent rights.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13, 2009, we completed a transaction in which we sold substantially all of the assets associated with our licensing product line to Lantiq Deutschland GmbH (“Lantiq”) for $6.75 million. Lantiq is a fabless semiconductor company that was spun out of Infineon Technologies AG (“Infineon”), our largest DSL licensing customer at that time. The sale included: i) our DSL and home networking technology assets; ii) certain patents and patent applications related to those technology assets; iii) a group of 41 engineers; and iv) lab and computer equipment used by the transferred engineers.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As a result of the Lantiq transaction, we will no longer derive DSL contract revenue from Infineon or Lantiq. Over the past several years, contract revenue from Infineon has ranged from $0.5 million to $1.0 million per quarter. We amended and restated the existing license agreement between us and Infineon to provide Lantiq (as successor to Infineon) certain non-exclusive licenses of our patent rights, and to continue Lantiq’s royalty obligations to Aware. We also expect to continue to derive contract revenue for engineering support and royalties per our existing agreements with Ikanos Communications, Inc. (“Ikanos”). We will not be pursuing new silicon intellectual property licensing customers for DSL o r home networking applications for the foreseeable future. In addition, Aware subleased certain office and lab space to Lantiq at its main facilities in Bedford, Massachusetts. In the first quarter of 2010, engineering expenses associated with our licensing product line decreased by approximately $1.8 million compared to the first quarter of 2009 as a result of the transfer of 41 engineers to Lantiq. We expect that quarterly engineering expenses in the second and third quarters of 2010 will decrease by $1.7 million to $2.0 million compared to the corresponding periods in 2009 as a result of the employee transfer.</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sale of our licensing product line to Lantiq in November 2009, we have operated as one segment with two principal product lines: i) biometrics products; and ii) DSL test and diagnostics products. We expect that the Lantiq transaction will have a minimal impact on the future financial results of our biometrics and DSL test and diagnostics product lines. As it relates to our DSL test business, Aware and Lantiq will cooperate with one another with respect to embedded wireline diagnostics technology and products.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in accordance with generally accepted accounting principles (“GAAP”) for the three months ended March 31, 2010 was $22,000, or $0.00 per share. We had a GAAP net loss for the three months ended March 31, 2009 of $2.1 million, or $0.09 per share. Readers of this report should keep in mind that our financial results for the three months ended March 31, 2009 included the revenue and expense impact of the licensing product line that was sold to Lantiq in November 2009, whereas results for the three months ended March 31, 2010 no longer included such revenue and expenses. The royalty obligations of Lantiq and Ikanos were not affected by the Lantiq transaction and therefore royalty revenue is included in both three month periods ended March 31, 2010 and 2009.</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non-GAAP information internally to evaluate its operating performance and believes these non-GAAP measures are useful to investors as they provide additional insight into the underlying operating results. Our non-GAAP net income (loss) excludes the effect of stock-based compensation expense. Non-GAAP net income for the three months ended March 31, 2010, excluding the effect of $345,000 of stock-based compensation, was $367,000, or $0.02 per diluted share. We had a non-GAAP net loss for the three months ended March 31, 2009, excluding the effect of $391,000 of stock-based compensation, of $1.7 million, or $0.07 per diluted share. A reconciliation of GAAP to non-GAAP results is set forth in the table below (in thousands, except for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7"/>
          </w:tcPr>
          <w:p>
            <w:pPr>
              <w:ind w:left="3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2009</w:t>
            </w:r>
          </w:p>
        </w:tc>
        <w:tc>
          <w:tcPr>
            <w:tcW w:w="60" w:type="dxa"/>
            <w:vAlign w:val="bottom"/>
          </w:tcPr>
          <w:p>
            <w:pPr>
              <w:spacing w:after="0"/>
              <w:rPr>
                <w:sz w:val="19"/>
                <w:szCs w:val="19"/>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GAAP net income (loss)</w:t>
            </w:r>
          </w:p>
        </w:tc>
        <w:tc>
          <w:tcPr>
            <w:tcW w:w="20" w:type="dxa"/>
            <w:vAlign w:val="bottom"/>
          </w:tcPr>
          <w:p>
            <w:pPr>
              <w:spacing w:after="0"/>
              <w:rPr>
                <w:sz w:val="17"/>
                <w:szCs w:val="17"/>
                <w:color w:val="auto"/>
              </w:rPr>
            </w:pPr>
          </w:p>
        </w:tc>
        <w:tc>
          <w:tcPr>
            <w:tcW w:w="740" w:type="dxa"/>
            <w:vAlign w:val="bottom"/>
          </w:tcPr>
          <w:p>
            <w:pPr>
              <w:jc w:val="right"/>
              <w:ind w:right="57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(2,131)</w:t>
            </w:r>
          </w:p>
        </w:tc>
        <w:tc>
          <w:tcPr>
            <w:tcW w:w="60" w:type="dxa"/>
            <w:vAlign w:val="bottom"/>
          </w:tcPr>
          <w:p>
            <w:pPr>
              <w:spacing w:after="0"/>
              <w:rPr>
                <w:sz w:val="17"/>
                <w:szCs w:val="17"/>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367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60" w:type="dxa"/>
            <w:vAlign w:val="bottom"/>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GAAP net income (loss) per diluted share Stock-based compensation per diluted share Non-GAAP net income (loss) per diluted share</w:t>
      </w:r>
    </w:p>
    <w:p>
      <w:pPr>
        <w:spacing w:after="0" w:line="20" w:lineRule="exact"/>
        <w:rPr>
          <w:sz w:val="20"/>
          <w:szCs w:val="20"/>
          <w:color w:val="auto"/>
        </w:rPr>
      </w:pPr>
      <w:r>
        <w:rPr>
          <w:sz w:val="20"/>
          <w:szCs w:val="20"/>
          <w:color w:val="auto"/>
        </w:rPr>
        <w:br w:type="column"/>
      </w:r>
    </w:p>
    <w:p>
      <w:pPr>
        <w:jc w:val="center"/>
        <w:ind w:right="58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58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(0.09)</w:t>
            </w: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r>
      <w:tr>
        <w:trPr>
          <w:trHeight w:val="432"/>
        </w:trPr>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(0.07)</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180" w:space="100"/>
            <w:col w:w="8140"/>
          </w:cols>
          <w:pgMar w:left="240" w:top="513"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Product Sales. </w:t>
      </w:r>
      <w:r>
        <w:rPr>
          <w:rFonts w:ascii="Arial" w:cs="Arial" w:eastAsia="Arial" w:hAnsi="Arial"/>
          <w:sz w:val="18"/>
          <w:szCs w:val="18"/>
          <w:color w:val="auto"/>
        </w:rPr>
        <w:t>Product sales consist primarily of revenue from the sale of hardware and software products. Hardware products consist primarily of DSL 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diagnostics modules. Software products consist of software products, including maintenance contracts, for biometric, medical imaging and digital imaging applications, as well as DSL test and diagnostics software.</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 sales increased 65% from $2.8 million in the first quarter of 2009 to $4.7 million in the current year quarter. As a percentage of total revenue, product sales increased from 62% in the first quarter of 2009 to 83% in the current year quarter. The dollar increase in product sales was primarily due to a $0.9 million increase in revenue from the sale of test and diagnostic hardware and software, and a $1.0 million increase in revenue from the sale of biometrics software. The $0.9 million increase in revenue from the sale of test and diagnostic products was mainly attributable to a large hardware sale to an OEM customer that is deploying test equipment into a major service provider. The $1.0 million increase in revenue from the sale of biometrics software was primarily due to improving economic con ditions in the current quarter, which led to increased customer demand.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Lantiq transaction to materially affect future product sales.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Contract Revenue. </w:t>
      </w:r>
      <w:r>
        <w:rPr>
          <w:rFonts w:ascii="Arial" w:cs="Arial" w:eastAsia="Arial" w:hAnsi="Arial"/>
          <w:sz w:val="18"/>
          <w:szCs w:val="18"/>
          <w:color w:val="auto"/>
        </w:rPr>
        <w:t>Contract revenue consists of patent, license and engineering service fees that we receive under agreements relating to the sale or license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Aware’s patents, DSL technology, DSL test and diagnostic technology, and biometrics technology.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revenue decreased 84% from $1.3 million in the first quarter of 2009 to $0.2 million in the current year quarter. As a percentage of total revenue, contract revenue decreased from 28% in the first quarter of 2009 to 4% in the current year quarter. The dollar decrease was primarily due to a $0.7 million decrease in contract revenue from DSL technology contracts, and a $0.4 million decrease in contract revenue from biometrics professional services contracts. The $0.7 million decrease in contract revenue from DSL technology contracts was mainly attributable to a decline in revenue as a result of the sale of our licensing product line to Lantiq in November 2009. The $0.4 million decrease in contract revenue from biometrics professional services contracts was primarily due to the completion of a significant cu stomer project during 2009.</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that any contract revenue from DSL technology contracts will be minimal in future periods as a result of the sale of our licensing product line to Lantiq. Moreover, we will not be pursuing new silicon IP licensing customers for DSL or home networking applications in the foreseeable future. Other potential sources of future contract revenue include revenue from i) biometrics professional services contracts; ii) DSL test and diagnostic professional services contracts and 3) sales and/or licenses of patents. Although there were no patent sales in 2009 or the first quarter of 2010, we intend to continue to sell and/or license additional patents in the future, subject to customer demand and favorable terms and conditions.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3" w:name="page14"/>
    <w:bookmarkEnd w:id="13"/>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Royalties. </w:t>
      </w:r>
      <w:r>
        <w:rPr>
          <w:rFonts w:ascii="Arial" w:cs="Arial" w:eastAsia="Arial" w:hAnsi="Arial"/>
          <w:sz w:val="17"/>
          <w:szCs w:val="17"/>
          <w:color w:val="auto"/>
        </w:rPr>
        <w:t>Royalties consist of royalty payments that we receive under agreements with our customers. We receive royalties from customers for rights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Aware technology and/or patents, typically associated with the incorporation of Aware technology and/or patents in customer chipsets.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Royalties increased 58% from $0.5 million in the first quarter of 2009 to $0.8 million in the current year quarter. As a percentage of total revenue, royalties increased from 10% in the first quarter of 2009 to 13% in the current year quarter. Most of the dollar increase in royalties was due to higher ADSL royalties reported to us by one of our licensees. We are unable to predict whether the increased royalties reported by this licensee in the current quarter will trend upward or downward in future quarters.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royalty revenue currently comes predominantly from ADSL chipset sales by Ikanos and ADSL and VDSL chipset sales by Lantiq (formerly Infineon). The Lantiq transaction will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Also, as a result of the Lantiq transaction, we will not be pursuing new silicon intellectual property licensing customers for DSL or home networking applications in the foreseeable future that might lead to royalties from new customers.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Since the cost of software product sales is minimal, cost of product sales consists primarily of the cost of hardware product sales.</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product sales increased 102% from $0.5 million in the first quarter of 2009 to $1.0 million in the current year quarter. As a percentage of product sales, cost of product sales increased from 18% in the first quarter of 2009 to 22% in the current year quarter, which means that product gross margins decreased from 82% to 78%. The cost of product sales dollar increase was primarily due to greater sales of test and diagnostics hardware products this quarter. The decrease in product gross margins was primarily due to a greater proportion of hardware product sales in product sales in the current quarter versus the year ago quarter.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Cost of Contract Revenue. </w:t>
      </w:r>
      <w:r>
        <w:rPr>
          <w:rFonts w:ascii="Arial" w:cs="Arial" w:eastAsia="Arial" w:hAnsi="Arial"/>
          <w:sz w:val="18"/>
          <w:szCs w:val="18"/>
          <w:color w:val="auto"/>
        </w:rPr>
        <w:t>Cost of contract revenue consists primarily of compensation costs for engineers and expenses for consultants, recruiting,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depreciation and facilities associated with customer engineering services projects. Cost of contract revenue also includes direct expenses for third party contractors and consultants for biometrics professional services contracts. Our total engineering costs are allocated between cost of contract revenue and research and development expense. In a given period, the allocation of engineering costs between cost of contract revenue and research and development is a functio n of the level of effort expended on each.</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contract revenue decreased 92% from $0.9 million in the first quarter of 2009 to $0.1 million in the current year quarter. Cost of contract revenue as a percentage of contract revenue, was 71% in the first quarter of 2009 and 34% in the current quarter, which means that the gross margins on contract revenue increased from 29% to 66%. The dollar decrease in cost of contract revenue was primarily a function of lower revenue from DSL technology contracts and biometrics professional services contracts in the current quarter. The increase in gross margins on contract revenue is primarily due to higher margins on biometrics contracts, which represented a greater proportion of contract revenue in the current year qua rter primarily as a result of the asset sale to Lantiq.</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primarily of compensation costs for engineers and expenses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recruiting, supplies, equipment, depreciation and facilities related to engineering projects to improve our communications, test, biometrics and imaging technology, as well as our software and hardware products. Our total engineering costs are allocated between cost of contract revenue and research and development expense. In a given period, the allocation of engineering costs between cost of contract revenue and research and development is a function of the level of effort expended on each.</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Research and development expenses decreased 35% from $3.1 million in the first quarter of 2009 to $2.0 million in the current year quarter. As a percentage of total revenue, research and development expense decreased from 68% in the first quarter of 2009 to 36% in the current year quarter. The dollar decrease in research and development expense was primarily due to a $1.8 million reduction of engineering expenses as a result of the sale of our licensing product line to Lantiq. This expense reduction was partially offset by $0.6 million less engineering expenses allocated to cost of contract.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closing of the Lantiq transaction, our future research and development activities will be focused on developing biometrics and imaging software, and developing test and diagnostics hardware and software. We will also continue to expand our patent portfolio.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consists primarily of compensation costs for sales and marketing personnel,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and promotion, recruiting, and facilities expense.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marketing expense in the first quarter of 2010 was essentially unchanged at $1.1 million from the first quarter of 2009. As a percentage of total revenue, sales and marketing expense decreased from 24% in the first quarter of 2009 to 19% in the current year quarter.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Flat sales and marketing spending reflects a steady state sales and marketing organization. Moreover, since the Lantiq transaction did not involve any of our sales or marketing personnel, the transaction had a minimal impact on current quarter expenses and we expect that it will have a minimal impact on future sales and marketing expenses.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General and administrative expense consists primarily of compensation costs for administrative personnel,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bad debt, audit, legal, stock exchange and insurance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 and administrative expenses increased 16% from $1.2 million in the first quarter of 2009 to $1.4 million in the current year quarter. As a percentage of total revenue, general and administrative expense decreased from 27% in the first quarter of 2009 to 25% in the current year quarter.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dollar increase in general and administrative expense was mainly attributable to higher spending on legal fees, director fees, and stock-based compensation.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Since the Lantiq transaction did not involve any of our administrative personnel, the transaction had a minimal impact on current quarter expenses and we expect that it will have a minimal impact on future general and administrative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86% from $125,000 in the first quarter of 2009 to $18,000 in the current year quarter. The dollar decrease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significant decline in money market interest rates.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made no provision for income taxes in the first three months of 2010 and 2009 due to minimal net income in the 2010 period, net losses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2009 period, and the uncertainty of the timing of profitability in future periods. We did record $1,000 and $3,000 of state excise taxes in the first three months of 2010 and 2009, respectively. In 2002, we determined that due to our continuing operating losses as well as the uncertainty of the timing of profitability in future periods, we should fully reserve our deferred tax assets. As of March 31, 2010, our deferred tax assets continue to be fully reserv ed. We will continue to evaluate, on a quarterly basis, the positive and negative evidence affecting the realizability of our deferred tax assets.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2009, we had federal net operating loss (“NOLs”) and research and experimentation credit carryforwards of approximately $47.6 million and $13.4 million respectively, which may be available to offset future federal income tax liabilities and expire at various dates from 2010 through 2029. In addition, at December 31, 2009, we had approximately $10.3 million and $7.1 million of state net operating losses and state research and development and investment tax carryforwards, respectively, which expire at various dates from 2010 through 2024.</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an analysis that we performed under Internal Revenue Code Section 382 on our NOLs generated for the period 1997 through 2009, we have not experienced a change in ownership as defined by Section 382, and, therefore, the NOLs are not currently under any Section 382 limitation.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2010, we had cash and cash equivalents of $39.0 million, which represented a decrease of $649,000 from December 31, 2009. The decrease in cash was primarily due to: i) $341,000 of cash used by operations; ii) $47,000 of cash used to purchase capital equipment; iii) $161,000 of cash used to pay withholding taxes for employees who surrendered shares of common stock in connection with an employee option exchange program; and iv) $100,000 of transaction expenses paid in the first quarter of 2010 that related to the 2009 sale of assets to Lantiq.</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$341,000 of cash in operations in the first three months of 2010. This cash usage was primarily the result of $837,000 of cash used to fund working capital items, which was partially offset by net income of $22,000, and non-cash items related to depreciation and amortization of $129,000, and stock based compensation expense of $345,000.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Capital spending was primarily related to the purchase of computer hardware, and laboratory equipment used principally in engineering activities.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In January 2010, we completed an employee option exchange program in which we allowed participating employees to surrender a portion of their shares of common stock in return for the Company paying withholding taxes related to their stock grants. As a result of this provision, employees surrendered 60,659 shares of common stock and we paid approximately $161,000 of withholding taxes on their behalf.</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H to our Consolidated Financial Statements in Item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has included:</w:t>
      </w:r>
    </w:p>
    <w:p>
      <w:pPr>
        <w:spacing w:after="0" w:line="170" w:lineRule="exact"/>
        <w:rPr>
          <w:sz w:val="20"/>
          <w:szCs w:val="20"/>
          <w:color w:val="auto"/>
        </w:rPr>
      </w:pPr>
    </w:p>
    <w:p>
      <w:pPr>
        <w:ind w:left="920" w:hanging="33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which consist of financial instruments with original maturities of three months or less;</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Short-term investments, which consist of financial instruments with remaining maturities of twelve months or less;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which consist of financial instruments that mature in three years or less.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31, 2010, our cash and cash equivalents of $39.0 million were invested in money market accounts. Due to the nature and short duration of these financial instruments, we do not expect that an increase in interest rates would result in any material loss to our investment portfolio. As of March 31, 2010, we had no investments that matured in more than twelve months. We do not use derivative financial instruments for speculative or trading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chief executive officer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BUSINESS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Unpredictable and May Fluctuate Significantly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quarterly revenue and operating results are difficult to predict and may fluctuate significantly from quarter-to-quarter due to the unpredictably of our revenue components.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difficult for us to make accurate forecasts of product revenues. Product revenues consist of sales of test and diagnostics hardware and software as well as biometrics and medical imaging software. Sales of hardware and software products fluctuate based upon demand by our customers which is difficult to predict. We generally ship customer orders as we receive them, and, therefore, we have no meaningful backlog of product orders. Since our product revenues include the sales of hardware products which typically have lower gross margins than our other sources of revenue, product gross margins and overall profitability are also difficult to predict.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Contract revenues are also unpredictable. Making accurate predictions regarding the timing of contract revenues from new and existing customers is difficult.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also difficult for us to make accurate forecasts of royalty revenues. Royalties are typically recognized in the quarter when we receive a report from a customer detailing sales and royalties due from the prior quarter, such as from the shipment of licensed integrated circuits. Royalties depend upon customer revenues which can be affected by factors beyond our ability to control or assess in advance. These factors include our customers’ ability to generate sales and fluctuating sales volumes and prices of products containing our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variety of risks, which could materially adversely affect quarterly and annual operating results, including:</w:t>
      </w:r>
    </w:p>
    <w:p>
      <w:pPr>
        <w:spacing w:after="0" w:line="225" w:lineRule="exact"/>
        <w:rPr>
          <w:sz w:val="20"/>
          <w:szCs w:val="20"/>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hardware and software products;</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demand for our hardware and software products;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resulting in lower software or hardware product revenues;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a significant OEM relationship or termination of a professional services project by a customer;</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by an OEM customer of a strategic relationship with an equipment company customer;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or introductions of new technologies or products by us or our competitors;</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failures or problems in our hardware or software products;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pressure from our competitors in the markets in which we compete;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adoption of new industry standards or changes in market perception of the value of new or existing standards;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sales and marketing personnel;</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agreements with us;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hardware manufacturing issues, including yield problems in our hardware platforms, and inventory buildup and obsolescence;</w:t>
      </w:r>
    </w:p>
    <w:p>
      <w:pPr>
        <w:spacing w:after="0" w:line="9" w:lineRule="exact"/>
        <w:rPr>
          <w:rFonts w:ascii="Arial" w:cs="Arial" w:eastAsia="Arial" w:hAnsi="Arial"/>
          <w:sz w:val="18"/>
          <w:szCs w:val="18"/>
          <w:color w:val="auto"/>
        </w:rPr>
      </w:pPr>
    </w:p>
    <w:p>
      <w:pPr>
        <w:ind w:left="920" w:hanging="331"/>
        <w:spacing w:after="0" w:line="250"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gross margins may be affected by various factors including, but not limited to, product mix, product life cycle, and provisions for excess and obsolete inventory;</w:t>
      </w: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factors, we believe that period-to-period comparisons of our revenue levels and operating results are not necessarily meaningful. You should not rely on our quarterly revenue and operating results to predict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Net Losses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had net losses in 2001, 2002, 2003, 2004, and 2005, and operating losses in 2006, 2007, and 2009. We may experience losses in the future if:</w:t>
      </w:r>
    </w:p>
    <w:p>
      <w:pPr>
        <w:spacing w:after="0" w:line="237" w:lineRule="exact"/>
        <w:rPr>
          <w:sz w:val="20"/>
          <w:szCs w:val="20"/>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test and diagnostics or biometrics markets decline;</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and/or existing customers do not choose to use our software or hardware products; or</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do not choose to license and/or buy our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Rapid Technological Change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telecommunications and biometrics industries are characterized by rapid technological change and uncertainty. In these industries, new generations of products are introduced regularly and evolutionary improvements to existing products are required. Therefore, we face risks that others could introduce competing technologies that render our technologies and products less desirable or obsolete. Also, the announcement of new technologies could cause: i) our customers to delay purchasing our products; or ii) our customers’ customers to delay purchasing OEM products that incorporate our products. Either of these events could seriously harm our business.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that our business will depend to a significant extent on our ability to introduce new generations of products as well as new technologies and products that keep pace with changes in these industries. We must continually devote significant engineering resources to achieving technical innovations and product developments. These developments are complex and require long development cycles. Moreover, we may have to make substantial investments in technological innovations and product developments before we can determine their commercial viability. We may lack sufficient financial resources to fund future development. Revenue from technological innovations, even if successfully developed, may not be sufficient to recoup the costs of development.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Intellectual Property is Subject to Limited Protection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are a technology provider, our ability to protect our intellectual property and to operate without infringing the intellectual property rights of others is critical to our success. We regard our technology as proprietary. Our patent portfolio includes approximately 135 U.S. and foreign patents as well as approximately 240 pending patent applications. We also rely on a combination of trade secrets, copyright and trademark law and non-disclosure agreements to protect our unpatented intellectual property. Despite these precautions, it may be possible for a third party to copy or otherwise obtain and use our technology without authorization.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typically work closely with our customers, who may also be potential competitors, and provide them with proprietary know-how. Although our agreements contain non-disclosure provisions and other terms protecting our proprietary know-how and technology rights, it is possible that, despite these precautions, some of our customers might obtain from us proprietary information that they could use to compete with us in the marketplace. Although we intend to defend our intellectual property as necessary, the steps we have taken may be inadequate to prevent misappropriation.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The misappropriation of our technology or the development of competitive technology could seriously harm our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technology, software or hardware may infringe the intellectual property rights of others. A large and increasing number of participants in the telecommunications and compression industries have applied for or obtained patents. Some of these patent holders have demonstrated a readiness to commence litigation based on allegations of patent and other intellectual property infringement. Third parties may assert patent, copyright and other intellectual property rights to technologies that are important to our business. In the past, we have received claims from other companies that our technology infringes their patent rights. Intellectual property rights can be uncertain and can involve complex legal and factual questions. We may infringe the proprietary rights of others, which could result in significant liability for us. If we were found to have infringed any third party’s patents, we could be subject to substantial damages or an injunction preventing us from conducting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Regulations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extensive regulation of the telecommunications industry by federal, state and foreign regulatory agencies, including the Federal Communications Commission, and various state public utility and service commissions, could affect us through the effects of such regulation on our customers and their customers. In addition, our business may also be affected by the imposition of certain tariffs, duties and other import restrictions on components that our customers obtain from non-domestic suppliers or by the imposition of export restrictions on products sold internationally and incorporating our technology. Changes in current or future laws or regulations, in the United States or elsewhere, could seriously harm our business.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Economic Conditions, Including The Credit Crisis Affecting The Financial Markets And The Global Recession, Could Adversely Affect Our Business, Results Of Operations And Financial Condition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the past several years, the world’s financial markets have been experiencing turmoil, characterized by reductions in available credit, increased costs of credit, volatility in security prices, rating downgrades of investments and reduced valuations of securities generally. These events have materially and adversely impacted the availability of financing to a wide variety of businesses, and the resulting uncertainty has led to reductions in capital investments, overall spending levels, future product plans, and sales projections across industries and markets. These trends could have a material adverse impact on our business, our ability to achieve targeted results of operations and our financial condition as a result of:</w:t>
      </w:r>
    </w:p>
    <w:p>
      <w:pPr>
        <w:spacing w:after="0" w:line="173" w:lineRule="exact"/>
        <w:rPr>
          <w:sz w:val="20"/>
          <w:szCs w:val="20"/>
          <w:color w:val="auto"/>
        </w:rPr>
      </w:pPr>
    </w:p>
    <w:p>
      <w:pPr>
        <w:ind w:left="920" w:hanging="33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demand for our products or our customers’ products that incorporate our technology;</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pressure on the prices for our products or our customers’ products that incorporate our technology;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when needed.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unable to predict the likely duration and severity of disruptions in financial markets and adverse economic conditions in the U.S. and other countries, but the longer the duration, the greater the risks we face in operating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Judgments in the Process of Preparing Our Financial Statements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prepare our financial statements in accordance with generally accepted accounting principles and certain critical accounting policies that are relevant to our business. The application of these principles and policies requires us to make significant judgments and estimates. In the event that judgments and estimates we make are incorrect, we may have to change them, which could materially affect our financial position and results of operations.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Moreover, accounting standards have been subject to rapid change and evolving interpretations by accounting standards setting organizations over the past few years. The implementation of new standards requires us to interpret and apply them appropriately. If our current interpretations or applications are later found to be incorrect, our financial position and results of operations could be materially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ind w:right="7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Could Lose Confidence In The Reliability of Our Financial Statements, Which Could Result In a Decline in the Price of Our Common Stock</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and the audit opinion of our independent registered accounting firm as to the effectiveness of our controls is required in connection with our filing of our Annual Report on Form 10-K. If we are unable to identify, implement and conclude that we have effective internal controls over financial reporting or if our independent auditors are unable to conclude that our internal controls over financial reporting are effective,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in our stock price may negatively affect the price you may receive for your shares of common stock and increases the risk that we could be the subject of costly securities litigation. The market price of our common stock has fluctuated substantially and could continue to fluctuate based on a variety of factors, including:</w:t>
      </w:r>
    </w:p>
    <w:p>
      <w:pPr>
        <w:spacing w:after="0" w:line="181" w:lineRule="exact"/>
        <w:rPr>
          <w:sz w:val="20"/>
          <w:szCs w:val="20"/>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future financial guidance that we may provide to investors and public market analysts;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relationships with our customers;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our competitors;</w:t>
      </w:r>
    </w:p>
    <w:p>
      <w:pPr>
        <w:spacing w:after="0" w:line="9" w:lineRule="exact"/>
        <w:rPr>
          <w:rFonts w:ascii="Arial" w:cs="Arial" w:eastAsia="Arial" w:hAnsi="Arial"/>
          <w:sz w:val="18"/>
          <w:szCs w:val="18"/>
          <w:color w:val="auto"/>
        </w:rPr>
      </w:pPr>
    </w:p>
    <w:p>
      <w:pPr>
        <w:ind w:left="920" w:hanging="331"/>
        <w:spacing w:after="0" w:line="250"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DSL or biometrics market growth rates as well as investor perceptions regarding the investment opportunity that companies participating in the DSL or biometrics industry afford them;</w:t>
      </w: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by public market analysts;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key personnel losses;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stock repurchase activities;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announcements with respect to industry standards, patents or proprietary rights.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equity markets have experienced volatility that has particularly affected the market prices of equity securities of many high technology companies and that often has been unrelated or disproportionate to the operating performance of such companies. These broad market fluctuations may adversely affect the market price of our common stock.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LICENSING PRODUCT LINE RISKS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Sold Substantially All of the Assets of Our DSL Silicon IP Licensing Product Line, And This Product Line Will No Longer Contribute Meaningful Contract Revenues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2009, we sold substantially all of the assets associated with our DSL and home networking licensing product line to Lantiq for $6.75 million. Lantiq is a fabless semiconductor company that was spun out of Infineon. Prior to the spinout, Infineon was our largest DSL licensing customer. The sale included: i) our DSL and home networking technology products; ii) certain patents and patent applications related to these technologies; and iii) a group of 41 engineers and the equipment used by those engineers.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sale, we will no longer license DSL silicon technology to semiconductor customers for the foreseeable future, nor will we derive DSL contract revenue from Infineon or Lantiq. In 2009, 2008, and 2007, we derived approximately 19%, 12% and 19% of our total revenue from Infineon/Lantiq, including contract revenue and royalties.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Expect to Continue to Receive Royalty Revenues After the Sale to Lantiq; However Future Royalty Revenue May Decline Because of Factors That Are Beyond Our Control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amended license with Lantiq, we expect to continue to receive royalties for DSL chipsets Lantiq sells. We also expect to continue to derive royalties and a minimal amount of contract revenue from Ikanos as our agreement with Ikanos remains in effect after the sale to Lantiq. Future royalties we may receive from Lantiq and Ikanos are influenced by factors that are beyond our control, including:</w:t>
      </w:r>
    </w:p>
    <w:p>
      <w:pPr>
        <w:spacing w:after="0" w:line="181" w:lineRule="exact"/>
        <w:rPr>
          <w:sz w:val="20"/>
          <w:szCs w:val="20"/>
          <w:color w:val="auto"/>
        </w:rPr>
      </w:pPr>
    </w:p>
    <w:p>
      <w:pPr>
        <w:ind w:left="920" w:hanging="331"/>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competitiveness of DSL chipsets offered by Lantiq and Ikanos and the willingness of their customers to purchase DSL chipsets from them;</w:t>
      </w:r>
    </w:p>
    <w:p>
      <w:pPr>
        <w:spacing w:after="0" w:line="46" w:lineRule="exact"/>
        <w:rPr>
          <w:rFonts w:ascii="Arial" w:cs="Arial" w:eastAsia="Arial" w:hAnsi="Arial"/>
          <w:sz w:val="16"/>
          <w:szCs w:val="16"/>
          <w:color w:val="auto"/>
        </w:rPr>
      </w:pP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promotional and marketing efforts of Lantiq and Ikanos; and</w:t>
      </w:r>
    </w:p>
    <w:p>
      <w:pPr>
        <w:spacing w:after="0" w:line="9" w:lineRule="exact"/>
        <w:rPr>
          <w:rFonts w:ascii="Arial" w:cs="Arial" w:eastAsia="Arial" w:hAnsi="Arial"/>
          <w:sz w:val="18"/>
          <w:szCs w:val="18"/>
          <w:color w:val="auto"/>
        </w:rPr>
      </w:pPr>
    </w:p>
    <w:p>
      <w:pPr>
        <w:ind w:left="920" w:hanging="331"/>
        <w:spacing w:after="0" w:line="26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DSL market risks in general, including: i) industry wide chipset demand; and ii) competitive pressures and cyclical demand for DSL chipsets, which may result in reduced average selling prices and channel inventory build-up.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these factors may cause our royalty revenue to decline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Obtain, Sell, License, or Enforce Patents Could be Affected by New Laws, Regulations or Rules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continue to pursue the license, sale or enforcement of patents in our patent portfolio. Our patent portfolio includes approximately 135 U.S. and foreign patents as well as approximately 240 pending patent applications. We also have an active program to protect our proprietary technology through the filing of additional patents. New laws, regulations or rules implemented either by Congress, the United States Patent and Trademark Office, foreign patent offices, or the courts that impact the patent application process, the patent enforcement process or the rights of patent holders could significantly increase our expenses related to patent prosecution or decrease revenues associated with our patents. While we are not aware that any such changes are likely to occur in the foreseeable future, we cannot assure y ou that such changes will not occur.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BIOMETRICS PRODUCT LINE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Biometrics Product Line Faces Intense Competition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markets for our biometrics products and services are competitive and uncertain. Many of our biometric software competitors have significantly greater financial, technological, marketing and personnel resources than we do. We also face intense competition from internal development teams within potential customers. We must convince potential customers to purchase products and services from us rather than develop software or perform services internally. Furthermore, customers, who have already purchased from us, may choose to stop purchasing our software and develop their own software.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addition, announcements or introductions of new technologies or products by our competitors may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Software Business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biometrics software business is subject to a variety of additional risks, which could materially adversely affect our revenue and operating results, including:</w:t>
      </w:r>
    </w:p>
    <w:p>
      <w:pPr>
        <w:spacing w:after="0" w:line="170" w:lineRule="exact"/>
        <w:rPr>
          <w:sz w:val="20"/>
          <w:szCs w:val="20"/>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biometric technologies and products;</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contracting practices of government or law enforcement agencies;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the biometrics market to experience continued growth;</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failures or problems in our biometric software products;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the adoption of new industry biometric standards or changes in market perception of the value of new or existing standards;</w:t>
      </w:r>
    </w:p>
    <w:p>
      <w:pPr>
        <w:spacing w:after="0" w:line="20" w:lineRule="exact"/>
        <w:rPr>
          <w:rFonts w:ascii="Arial" w:cs="Arial" w:eastAsia="Arial" w:hAnsi="Arial"/>
          <w:sz w:val="17"/>
          <w:szCs w:val="17"/>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growth of proprietary biometric systems which do not conform to industry standards;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pressures resulting in lower software product revenues;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and sales and marketing personnel;</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by third parties for alleged infringement of their proprietary rights;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current contracts;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Professional Services Business Risks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biometrics professional services business is subject to additional risks, which could materially adversely affect our revenue and operating results, including:</w:t>
      </w:r>
    </w:p>
    <w:p>
      <w:pPr>
        <w:spacing w:after="0" w:line="170" w:lineRule="exact"/>
        <w:rPr>
          <w:sz w:val="20"/>
          <w:szCs w:val="20"/>
          <w:color w:val="auto"/>
        </w:rPr>
      </w:pPr>
    </w:p>
    <w:p>
      <w:pPr>
        <w:ind w:left="920" w:hanging="331"/>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structure and price technology contracts in a manner that is consistent with our business model;</w:t>
      </w:r>
    </w:p>
    <w:p>
      <w:pPr>
        <w:spacing w:after="0" w:line="23" w:lineRule="exact"/>
        <w:rPr>
          <w:rFonts w:ascii="Arial" w:cs="Arial" w:eastAsia="Arial" w:hAnsi="Arial"/>
          <w:sz w:val="18"/>
          <w:szCs w:val="18"/>
          <w:color w:val="auto"/>
        </w:rPr>
      </w:pPr>
    </w:p>
    <w:p>
      <w:pPr>
        <w:ind w:left="920" w:right="520" w:hanging="331"/>
        <w:spacing w:after="0" w:line="250"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structure ourselves to successfully bid on U.S. government contracts and meet the requirements of U.S. contracting rules and regulations;</w:t>
      </w:r>
    </w:p>
    <w:p>
      <w:pPr>
        <w:ind w:left="920" w:hanging="331"/>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deliver contract milestones: i) in a timely and cost efficient manner, and ii) in a form and condition acceptable to customers;</w:t>
      </w:r>
    </w:p>
    <w:p>
      <w:pPr>
        <w:spacing w:after="0" w:line="20" w:lineRule="exact"/>
        <w:rPr>
          <w:rFonts w:ascii="Arial" w:cs="Arial" w:eastAsia="Arial" w:hAnsi="Arial"/>
          <w:sz w:val="17"/>
          <w:szCs w:val="17"/>
          <w:color w:val="auto"/>
        </w:rPr>
      </w:pPr>
    </w:p>
    <w:p>
      <w:pPr>
        <w:ind w:left="920" w:hanging="331"/>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customers could terminate projects;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we rely substantially on third party contractors and consultants to deliver certain contract milestones;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contracts.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TEST &amp; DIAGNOSTIC PRODUCT LINE RISKS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DSL Test and Diagnostics Business Depends Upon a Limited Number of Customers, Therefore We Derive Revenue from a Small Number of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 relatively limited number of OEM suppliers and service providers to which we can sell our DSL test and diagnostics products in a manner consistent with our business model. While no single test and diagnostics customer represented more than 10% of our total revenue in 2008 and 2009, Spirent and Alcatel contributed significant revenue to our test and diagnostics business in those years.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maintain relationships with our current customers or fail to establish a sufficient number of new customer relationships, our business could be seriously harmed. In addition, our current and prospective customers may use their superior size and bargaining power to demand terms that are unfavorable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DSL Test and Diagnostics Business Faces Intense Competition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markets for our DSL test and diagnostics hardware and software products are competitive and uncertain. Our success as a supplier of hardware and software products for DSL test and diagnostics depends in large part on:</w:t>
      </w:r>
    </w:p>
    <w:p>
      <w:pPr>
        <w:spacing w:after="0" w:line="170" w:lineRule="exact"/>
        <w:rPr>
          <w:sz w:val="20"/>
          <w:szCs w:val="20"/>
          <w:color w:val="auto"/>
        </w:rPr>
      </w:pPr>
    </w:p>
    <w:p>
      <w:pPr>
        <w:ind w:left="920" w:hanging="331"/>
        <w:spacing w:after="0" w:line="258"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and ability of OEM customers to design, build and sell automated test heads, hand-held testers, and DSLAMs that incorporate or work with our products;</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market and sell to service providers;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provide effective sales, marketing, and customer service to our customers.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OEM customers, their competitors and service providers have significantly greater financial, technological, manufacturing, marketing and personnel resources than we do. We can give no assurance that our customers will continue to purchase products from us or that we will be able to compete effectively or that competitive pressures will not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DSL Test and Diagnostics Business Requires Telephone Companies to Install DSL Services in Volume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success of our DSL test and diagnostics business depends upon telephone companies installing DSL services in significant volumes. Moreover, our business depends on capital equipment spending by telephone companies. If telephone companies reduce their budgets for or decide not to install or utilize equipment dedicated to DSL service or test infrastructure, our test and diagnostics business could be harmed.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DSL services offered over telephone networks also compete with alternative broadband services that use other broadband network architectures, such as cable networks, fiber-to-the-home networks, and wireless networks. These alternative broadband networks may be more successful than DSL. If telephone companies cannot compete effectively with alternative broadband services our test and diagnostics business could be harmed.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The Success of Our DSL Test and Diagnostics Products Depends On Our Ability to Develop Commercially Available Products in a Timely Fashion</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developing and introducing, new and enhanced test and diagnostics products depends on the ability of our engineering organization to design and develop such products. Because of the complexity of our hardware and software products, it may take us a significant amount of time to develop commercially available products. If we cannot successfully develop and introduce new and enhanced test and diagnostics products on a timely basis, our DSL test and diagnostics business could be seriously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Test and Diagnostics Hardware and Software Products Have Quality Problems, Our Business Could Be Harmed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test and diagnostics products have actual or perceived reliability, quality, functionality or other problems, we may suffer reduced orders, higher manufacturing costs, inability to recognize revenue, delays in collecting accounts receivable and higher service, support and warranty expenses or inventory write-offs, among other effects. We believe that the acceptance, volume production, timely delivery and customer satisfaction of our test and diagnostics products is important to our future financial results. As a result, any inability to correct any technical, reliability, parts shortages or other difficulties or to manufacture and ship our test and diagnostics products on a timely basis meeting customer requirements could damage our relationships and reputation with current and prospective customers, which would harm our revenue s and operating results. Any product problems that may require repair or replacement may adversely affect our customer and/or vendor relationships and have an impact on support costs, warranty reserves, or inventory reserves, among other effects.</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Dependent On a Single Source Contract Manufacturer for the Manufacture of Our DSL Hardware Products, the Loss of Which Would Harm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depend on one contract manufacturer to manufacture our DSL hardware products. If this company was to terminate its arrangement with us or fail to provide the required capacity and quality on a timely basis, we would be unable to manufacture our products until replacement contract manufacturing services could be obtained. To qualify a new contract manufacturer, familiarize it with our products, quality standards and other requirements, and commence production is a costly and time-consuming process. We cannot assure you that we would be able to establish alternative manufacturing relationships on acceptable terms. Although we make reasonable efforts to ensure that our contract manufacturer performs to our standards, our reliance on a single source limits our control over quality assurance and delivery schedules. D efects in workmanship, inadequate yields, and manufacturing disruptions and difficulties may impair our ability to manage inventory and cause delays in shipments and cancellation of orders that may adversely affect our relationships with current and prospective customers. As a result, our test and diagnostics business could be harmed.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Manufacturing Systems May Not Be Adequate For Our DSL Test and Diagnostics Hardware Product Offerings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systems have been adequate to manage current product configurations and production volumes. However, our manufacturing systems have not been tested by more complex hardware products or by production volumes higher than current levels. If our manufacturing systems are inadequate or have other problems, our test and diagnostics business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Single Source Suppliers for Components in Our DSL Hardware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single source suppliers for components and materials used in our DSL hardware products. Our dependence on single source suppliers involves several risks, including limited control over pricing, availability, quality, and delivery schedules. Any delays in delivery of such components or shortages of such components could cause delays in the shipment of our products, which could significantly harm our business. Because of our reliance on these vendors, we may also be subject to increases in component costs. These increases could significantly harm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one or more of our single source suppliers cease to provide us with sufficient quantities of our components in a timely manner or on terms acceptable to us, we would have to seek alternative sources of supply. We could incur delays while we locate and engage alternative qualified suppliers and we might be unable to engage alternative suppliers on favorable terms. We could incur substantial hardware and software redesign costs if we are required to replace the components. Any such disruption or increased expenses could harm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40" w:type="dxa"/>
            <w:vAlign w:val="bottom"/>
            <w:gridSpan w:val="4"/>
          </w:tcPr>
          <w:p>
            <w:pPr>
              <w:ind w:left="740"/>
              <w:spacing w:after="0"/>
              <w:rPr>
                <w:sz w:val="20"/>
                <w:szCs w:val="20"/>
                <w:color w:val="auto"/>
              </w:rPr>
            </w:pPr>
            <w:r>
              <w:rPr>
                <w:rFonts w:ascii="Arial" w:cs="Arial" w:eastAsia="Arial" w:hAnsi="Arial"/>
                <w:sz w:val="18"/>
                <w:szCs w:val="18"/>
                <w:b w:val="1"/>
                <w:bCs w:val="1"/>
                <w:color w:val="auto"/>
                <w:w w:val="95"/>
              </w:rPr>
              <w:t>Issuer Purchases of Equity Securities</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(b)</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3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Average Price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 Plans</w:t>
            </w:r>
          </w:p>
        </w:tc>
      </w:tr>
      <w:tr>
        <w:trPr>
          <w:trHeight w:val="241"/>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3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3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January 1, 2010 to January 31, 2010</w:t>
            </w:r>
          </w:p>
        </w:tc>
        <w:tc>
          <w:tcPr>
            <w:tcW w:w="2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60,659(1)</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$2.66(1)</w:t>
            </w:r>
          </w:p>
        </w:tc>
        <w:tc>
          <w:tcPr>
            <w:tcW w:w="3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February 1, 2010 to February 28, 2010</w:t>
            </w:r>
          </w:p>
        </w:tc>
        <w:tc>
          <w:tcPr>
            <w:tcW w:w="20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March 1, 2010 to March 31, 2010</w:t>
            </w:r>
          </w:p>
        </w:tc>
        <w:tc>
          <w:tcPr>
            <w:tcW w:w="20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8" w:lineRule="exact"/>
        <w:rPr>
          <w:sz w:val="20"/>
          <w:szCs w:val="20"/>
          <w:color w:val="auto"/>
        </w:rPr>
      </w:pPr>
    </w:p>
    <w:p>
      <w:pPr>
        <w:ind w:left="360" w:right="800" w:hanging="281"/>
        <w:spacing w:after="0" w:line="27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January 2010, we accepted 60,659 shares of our common stock as a tax withholding from certain of our employees, in connection with the issuance of unrestricted stock awards that occurred during the period, at a share price of $2.66.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jc w:val="center"/>
        <w:ind w:right="-439"/>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Exhibits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720" w:type="dxa"/>
            <w:vAlign w:val="bottom"/>
            <w:gridSpan w:val="3"/>
          </w:tcPr>
          <w:p>
            <w:pPr>
              <w:ind w:left="1840"/>
              <w:spacing w:after="0"/>
              <w:rPr>
                <w:sz w:val="20"/>
                <w:szCs w:val="20"/>
                <w:color w:val="auto"/>
              </w:rPr>
            </w:pPr>
            <w:r>
              <w:rPr>
                <w:rFonts w:ascii="Arial" w:cs="Arial" w:eastAsia="Arial" w:hAnsi="Arial"/>
                <w:sz w:val="18"/>
                <w:szCs w:val="18"/>
                <w:b w:val="1"/>
                <w:bCs w:val="1"/>
                <w:color w:val="auto"/>
              </w:rPr>
              <w:t>AWARE, INC.</w:t>
            </w: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Date: April 29, 2010</w:t>
            </w:r>
          </w:p>
        </w:tc>
        <w:tc>
          <w:tcPr>
            <w:tcW w:w="4720" w:type="dxa"/>
            <w:vAlign w:val="bottom"/>
            <w:gridSpan w:val="3"/>
          </w:tcPr>
          <w:p>
            <w:pPr>
              <w:ind w:left="1840"/>
              <w:spacing w:after="0"/>
              <w:rPr>
                <w:sz w:val="20"/>
                <w:szCs w:val="20"/>
                <w:color w:val="auto"/>
              </w:rPr>
            </w:pPr>
            <w:r>
              <w:rPr>
                <w:rFonts w:ascii="Arial" w:cs="Arial" w:eastAsia="Arial" w:hAnsi="Arial"/>
                <w:sz w:val="18"/>
                <w:szCs w:val="18"/>
                <w:color w:val="auto"/>
              </w:rPr>
              <w:t>By: /s/ Edmund C. Reiter</w:t>
            </w:r>
          </w:p>
        </w:tc>
      </w:tr>
      <w:tr>
        <w:trPr>
          <w:trHeight w:val="202"/>
        </w:trPr>
        <w:tc>
          <w:tcPr>
            <w:tcW w:w="3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Edmund C. Reiter, President &amp;</w:t>
            </w:r>
          </w:p>
        </w:tc>
        <w:tc>
          <w:tcPr>
            <w:tcW w:w="4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320" w:type="dxa"/>
            <w:vAlign w:val="bottom"/>
          </w:tcPr>
          <w:p>
            <w:pPr>
              <w:spacing w:after="0"/>
              <w:rPr>
                <w:sz w:val="20"/>
                <w:szCs w:val="20"/>
                <w:color w:val="auto"/>
              </w:rPr>
            </w:pPr>
            <w:r>
              <w:rPr>
                <w:rFonts w:ascii="Arial" w:cs="Arial" w:eastAsia="Arial" w:hAnsi="Arial"/>
                <w:sz w:val="18"/>
                <w:szCs w:val="18"/>
                <w:color w:val="auto"/>
              </w:rPr>
              <w:t>Date: April 29, 2010</w:t>
            </w:r>
          </w:p>
        </w:tc>
        <w:tc>
          <w:tcPr>
            <w:tcW w:w="4720" w:type="dxa"/>
            <w:vAlign w:val="bottom"/>
            <w:gridSpan w:val="3"/>
          </w:tcPr>
          <w:p>
            <w:pPr>
              <w:ind w:left="1840"/>
              <w:spacing w:after="0"/>
              <w:rPr>
                <w:sz w:val="20"/>
                <w:szCs w:val="20"/>
                <w:color w:val="auto"/>
              </w:rPr>
            </w:pPr>
            <w:r>
              <w:rPr>
                <w:rFonts w:ascii="Arial" w:cs="Arial" w:eastAsia="Arial" w:hAnsi="Arial"/>
                <w:sz w:val="18"/>
                <w:szCs w:val="18"/>
                <w:color w:val="auto"/>
              </w:rPr>
              <w:t>By: /s/ Richard P. Moberg</w:t>
            </w:r>
          </w:p>
        </w:tc>
      </w:tr>
      <w:tr>
        <w:trPr>
          <w:trHeight w:val="202"/>
        </w:trPr>
        <w:tc>
          <w:tcPr>
            <w:tcW w:w="3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Richard P. Moberg, Chief Financial</w:t>
            </w:r>
          </w:p>
        </w:tc>
        <w:tc>
          <w:tcPr>
            <w:tcW w:w="40" w:type="dxa"/>
            <w:vAlign w:val="bottom"/>
          </w:tcPr>
          <w:p>
            <w:pPr>
              <w:spacing w:after="0"/>
              <w:rPr>
                <w:sz w:val="17"/>
                <w:szCs w:val="17"/>
                <w:color w:val="auto"/>
              </w:rPr>
            </w:pPr>
          </w:p>
        </w:tc>
      </w:tr>
      <w:tr>
        <w:trPr>
          <w:trHeight w:val="216"/>
        </w:trPr>
        <w:tc>
          <w:tcPr>
            <w:tcW w:w="3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Officer (Principal Financial and</w:t>
            </w:r>
          </w:p>
        </w:tc>
      </w:tr>
      <w:tr>
        <w:trPr>
          <w:trHeight w:val="230"/>
        </w:trPr>
        <w:tc>
          <w:tcPr>
            <w:tcW w:w="3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240" w:top="553" w:right="6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Edmund C. Reiter, President and Chief Executive Officer of Aware, Inc., certify that:</w:t>
      </w:r>
    </w:p>
    <w:p>
      <w:pPr>
        <w:spacing w:after="0" w:line="22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25" w:lineRule="exact"/>
        <w:rPr>
          <w:rFonts w:ascii="Arial" w:cs="Arial" w:eastAsia="Arial" w:hAnsi="Arial"/>
          <w:sz w:val="18"/>
          <w:szCs w:val="18"/>
          <w:color w:val="auto"/>
        </w:rPr>
      </w:pPr>
    </w:p>
    <w:p>
      <w:pPr>
        <w:ind w:left="580" w:right="220" w:hanging="572"/>
        <w:spacing w:after="0" w:line="26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580" w:right="420" w:hanging="572"/>
        <w:spacing w:after="0" w:line="34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580" w:right="360" w:hanging="572"/>
        <w:spacing w:after="0" w:line="26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1160" w:right="100" w:hanging="571"/>
        <w:spacing w:after="0" w:line="264"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160" w:hanging="571"/>
        <w:spacing w:after="0" w:line="264"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jc w:val="both"/>
        <w:ind w:left="1160" w:right="280" w:hanging="571"/>
        <w:spacing w:after="0" w:line="264"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520" w:hanging="571"/>
        <w:spacing w:after="0" w:line="277"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
        <w:spacing w:after="0"/>
        <w:tabs>
          <w:tab w:leader="none" w:pos="560" w:val="left"/>
          <w:tab w:leader="none" w:pos="6840" w:val="left"/>
        </w:tabs>
        <w:rPr>
          <w:sz w:val="20"/>
          <w:szCs w:val="20"/>
          <w:color w:val="auto"/>
        </w:rPr>
      </w:pPr>
      <w:r>
        <w:rPr>
          <w:rFonts w:ascii="Arial" w:cs="Arial" w:eastAsia="Arial" w:hAnsi="Arial"/>
          <w:sz w:val="18"/>
          <w:szCs w:val="18"/>
          <w:color w:val="auto"/>
        </w:rPr>
        <w:t>Date:</w:t>
        <w:tab/>
        <w:t>April 29, 2010</w:t>
      </w:r>
      <w:r>
        <w:rPr>
          <w:sz w:val="20"/>
          <w:szCs w:val="20"/>
          <w:color w:val="auto"/>
        </w:rPr>
        <w:tab/>
      </w:r>
      <w:r>
        <w:rPr>
          <w:rFonts w:ascii="Arial" w:cs="Arial" w:eastAsia="Arial" w:hAnsi="Arial"/>
          <w:sz w:val="16"/>
          <w:szCs w:val="16"/>
          <w:color w:val="auto"/>
        </w:rPr>
        <w:t>/s/ Edmund C.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18180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8005" cy="1714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31750</wp:posOffset>
            </wp:positionV>
            <wp:extent cx="18097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Edmund C. Reiter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229"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Moberg, Chief Financial Officer of Aware, Inc., certify that:</w:t>
      </w:r>
    </w:p>
    <w:p>
      <w:pPr>
        <w:spacing w:after="0" w:line="225"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25" w:lineRule="exact"/>
        <w:rPr>
          <w:rFonts w:ascii="Arial" w:cs="Arial" w:eastAsia="Arial" w:hAnsi="Arial"/>
          <w:sz w:val="18"/>
          <w:szCs w:val="18"/>
          <w:color w:val="auto"/>
        </w:rPr>
      </w:pPr>
    </w:p>
    <w:p>
      <w:pPr>
        <w:ind w:left="580" w:right="220" w:hanging="572"/>
        <w:spacing w:after="0" w:line="264"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580" w:right="420" w:hanging="572"/>
        <w:spacing w:after="0" w:line="342"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580" w:right="360" w:hanging="572"/>
        <w:spacing w:after="0" w:line="264"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1160" w:right="100" w:hanging="571"/>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160" w:hanging="571"/>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jc w:val="both"/>
        <w:ind w:left="1160" w:right="280" w:hanging="571"/>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520" w:hanging="571"/>
        <w:spacing w:after="0" w:line="277"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
        <w:spacing w:after="0"/>
        <w:tabs>
          <w:tab w:leader="none" w:pos="560" w:val="left"/>
          <w:tab w:leader="none" w:pos="6840" w:val="left"/>
        </w:tabs>
        <w:rPr>
          <w:sz w:val="20"/>
          <w:szCs w:val="20"/>
          <w:color w:val="auto"/>
        </w:rPr>
      </w:pPr>
      <w:r>
        <w:rPr>
          <w:rFonts w:ascii="Arial" w:cs="Arial" w:eastAsia="Arial" w:hAnsi="Arial"/>
          <w:sz w:val="18"/>
          <w:szCs w:val="18"/>
          <w:color w:val="auto"/>
        </w:rPr>
        <w:t>Date:</w:t>
        <w:tab/>
        <w:t>April 29, 2010</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181800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8005" cy="1714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31750</wp:posOffset>
            </wp:positionV>
            <wp:extent cx="18097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29"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March 31, 2010,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87" w:lineRule="exact"/>
        <w:rPr>
          <w:sz w:val="20"/>
          <w:szCs w:val="20"/>
          <w:color w:val="auto"/>
        </w:rPr>
      </w:pPr>
    </w:p>
    <w:p>
      <w:pPr>
        <w:ind w:left="920" w:hanging="331"/>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C. Reiter</w:t>
            </w:r>
          </w:p>
        </w:tc>
        <w:tc>
          <w:tcPr>
            <w:tcW w:w="284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28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Date: April 29, 2010</w:t>
            </w:r>
          </w:p>
        </w:tc>
        <w:tc>
          <w:tcPr>
            <w:tcW w:w="28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Date: April 29, 2010</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1"/>
    </w:lvl>
  </w:abstractNum>
  <w:abstractNum w:abstractNumId="1">
    <w:nsid w:val="1190CDE7"/>
    <w:multiLevelType w:val="hybridMultilevel"/>
    <w:lvl w:ilvl="0">
      <w:lvlJc w:val="left"/>
      <w:lvlText w:val="%1)"/>
      <w:numFmt w:val="upperLetter"/>
      <w:start w:val="3"/>
    </w:lvl>
  </w:abstractNum>
  <w:abstractNum w:abstractNumId="2">
    <w:nsid w:val="66EF438D"/>
    <w:multiLevelType w:val="hybridMultilevel"/>
    <w:lvl w:ilvl="0">
      <w:lvlJc w:val="left"/>
      <w:lvlText w:val="%1)"/>
      <w:numFmt w:val="upperLetter"/>
      <w:start w:val="4"/>
    </w:lvl>
  </w:abstractNum>
  <w:abstractNum w:abstractNumId="3">
    <w:nsid w:val="140E0F76"/>
    <w:multiLevelType w:val="hybridMultilevel"/>
    <w:lvl w:ilvl="0">
      <w:lvlJc w:val="left"/>
      <w:lvlText w:val="%1)"/>
      <w:numFmt w:val="upperLetter"/>
      <w:start w:val="5"/>
    </w:lvl>
  </w:abstractNum>
  <w:abstractNum w:abstractNumId="4">
    <w:nsid w:val="3352255A"/>
    <w:multiLevelType w:val="hybridMultilevel"/>
    <w:lvl w:ilvl="0">
      <w:lvlJc w:val="left"/>
      <w:lvlText w:val="%1)"/>
      <w:numFmt w:val="upperLetter"/>
      <w:start w:val="6"/>
    </w:lvl>
  </w:abstractNum>
  <w:abstractNum w:abstractNumId="5">
    <w:nsid w:val="109CF92E"/>
    <w:multiLevelType w:val="hybridMultilevel"/>
    <w:lvl w:ilvl="0">
      <w:lvlJc w:val="left"/>
      <w:lvlText w:val="%1)"/>
      <w:numFmt w:val="upperLetter"/>
      <w:start w:val="7"/>
    </w:lvl>
  </w:abstractNum>
  <w:abstractNum w:abstractNumId="6">
    <w:nsid w:val="DED7263"/>
    <w:multiLevelType w:val="hybridMultilevel"/>
    <w:lvl w:ilvl="0">
      <w:lvlJc w:val="left"/>
      <w:lvlText w:val="%1)"/>
      <w:numFmt w:val="upperLetter"/>
      <w:start w:val="9"/>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2019-12-10T13:33:39Z</dcterms:created>
  <dcterms:modified xsi:type="dcterms:W3CDTF">2019-12-10T13:33:39Z</dcterms:modified>
</cp:coreProperties>
</file>