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wre-20260630.htm"/>
      <w:bookmarkStart w:id="1" w:name="ksawre20260630"/>
      <w:bookmarkEnd w:id="0"/>
      <w:bookmarkEnd w:id="1"/>
      <w:r>
        <w:rPr/>
        <w:t> </w:t>
      </w:r>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color w:val="000000"/>
          <w:sz w:val="24"/>
        </w:rPr>
      </w:pPr>
      <w:r>
        <w:rPr>
          <w:rFonts w:ascii="Times New Roman" w:hAnsi="Times New Roman"/>
          <w:color w:val="000000"/>
          <w:sz w:val="24"/>
        </w:rPr>
        <w:t>Washington, D.C. 20549</w:t>
      </w:r>
    </w:p>
    <w:p>
      <w:pPr>
        <w:pStyle w:val="TextBody"/>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80" w:after="283"/>
        <w:jc w:val="center"/>
        <w:rPr/>
      </w:pPr>
      <w:r>
        <w:rPr/>
        <w:t> </w:t>
      </w:r>
    </w:p>
    <w:tbl>
      <w:tblPr>
        <w:tblW w:w="6803" w:type="dxa"/>
        <w:jc w:val="left"/>
        <w:tblInd w:w="0" w:type="dxa"/>
        <w:tblLayout w:type="fixed"/>
        <w:tblCellMar>
          <w:top w:w="28" w:type="dxa"/>
          <w:left w:w="28" w:type="dxa"/>
          <w:bottom w:w="28" w:type="dxa"/>
          <w:right w:w="28" w:type="dxa"/>
        </w:tblCellMar>
      </w:tblPr>
      <w:tblGrid>
        <w:gridCol w:w="349"/>
        <w:gridCol w:w="6454"/>
      </w:tblGrid>
      <w:tr>
        <w:trPr/>
        <w:tc>
          <w:tcPr>
            <w:tcW w:w="349" w:type="dxa"/>
            <w:tcBorders/>
            <w:vAlign w:val="center"/>
          </w:tcPr>
          <w:p>
            <w:pPr>
              <w:pStyle w:val="TableContents"/>
              <w:bidi w:val="0"/>
              <w:spacing w:before="0" w:after="283"/>
              <w:jc w:val="left"/>
              <w:rPr>
                <w:sz w:val="4"/>
                <w:szCs w:val="4"/>
              </w:rPr>
            </w:pPr>
            <w:r>
              <w:rPr>
                <w:sz w:val="4"/>
                <w:szCs w:val="4"/>
              </w:rPr>
            </w:r>
          </w:p>
        </w:tc>
        <w:tc>
          <w:tcPr>
            <w:tcW w:w="6454" w:type="dxa"/>
            <w:tcBorders/>
            <w:vAlign w:val="center"/>
          </w:tcPr>
          <w:p>
            <w:pPr>
              <w:pStyle w:val="TableContents"/>
              <w:bidi w:val="0"/>
              <w:spacing w:before="0" w:after="283"/>
              <w:ind w:left="0" w:right="0" w:firstLine="18"/>
              <w:jc w:val="left"/>
              <w:rPr>
                <w:sz w:val="4"/>
                <w:szCs w:val="4"/>
              </w:rPr>
            </w:pPr>
            <w:r>
              <w:rPr>
                <w:sz w:val="4"/>
                <w:szCs w:val="4"/>
              </w:rPr>
            </w:r>
          </w:p>
        </w:tc>
      </w:tr>
      <w:tr>
        <w:trPr/>
        <w:tc>
          <w:tcPr>
            <w:tcW w:w="349" w:type="dxa"/>
            <w:tcBorders/>
            <w:tcMar>
              <w:top w:w="0" w:type="dxa"/>
              <w:left w:w="0" w:type="dxa"/>
              <w:bottom w:w="0" w:type="dxa"/>
              <w:right w:w="0" w:type="dxa"/>
            </w:tcMar>
            <w:vAlign w:val="center"/>
          </w:tcPr>
          <w:p>
            <w:pPr>
              <w:pStyle w:val="TableContents"/>
              <w:bidi w:val="0"/>
              <w:spacing w:before="0" w:after="283"/>
              <w:ind w:left="0" w:right="0" w:firstLine="18"/>
              <w:jc w:val="left"/>
              <w:rPr>
                <w:color w:val="000000"/>
              </w:rPr>
            </w:pPr>
            <w:r>
              <w:rPr>
                <w:color w:val="000000"/>
              </w:rPr>
              <w:t>☒</w:t>
            </w:r>
          </w:p>
        </w:tc>
        <w:tc>
          <w:tcPr>
            <w:tcW w:w="6454"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Quarterly Report pursuant to Section 13 or 15(d) of the Securities Exchange Act of 1934</w:t>
            </w:r>
          </w:p>
        </w:tc>
      </w:tr>
    </w:tbl>
    <w:p>
      <w:pPr>
        <w:pStyle w:val="TextBody"/>
        <w:bidi w:val="0"/>
        <w:spacing w:before="54" w:after="283"/>
        <w:jc w:val="left"/>
        <w:rPr>
          <w:rFonts w:ascii="Times New Roman" w:hAnsi="Times New Roman"/>
          <w:color w:val="000000"/>
          <w:sz w:val="18"/>
        </w:rPr>
      </w:pPr>
      <w:r>
        <w:rPr>
          <w:rFonts w:ascii="Times New Roman" w:hAnsi="Times New Roman"/>
          <w:color w:val="000000"/>
          <w:sz w:val="18"/>
        </w:rPr>
        <w:t>For the quarterly period ended June 30, 2026</w:t>
      </w:r>
    </w:p>
    <w:p>
      <w:pPr>
        <w:pStyle w:val="TextBody"/>
        <w:bidi w:val="0"/>
        <w:spacing w:before="108" w:after="283"/>
        <w:jc w:val="center"/>
        <w:rPr>
          <w:rFonts w:ascii="Times New Roman" w:hAnsi="Times New Roman"/>
          <w:color w:val="000000"/>
          <w:sz w:val="18"/>
        </w:rPr>
      </w:pPr>
      <w:r>
        <w:rPr>
          <w:rFonts w:ascii="Times New Roman" w:hAnsi="Times New Roman"/>
          <w:color w:val="000000"/>
          <w:sz w:val="18"/>
        </w:rPr>
        <w:t>OR</w:t>
      </w:r>
    </w:p>
    <w:p>
      <w:pPr>
        <w:pStyle w:val="TextBody"/>
        <w:bidi w:val="0"/>
        <w:jc w:val="center"/>
        <w:rPr/>
      </w:pPr>
      <w:r>
        <w:rPr/>
        <w:t> </w:t>
      </w:r>
    </w:p>
    <w:tbl>
      <w:tblPr>
        <w:tblW w:w="6951" w:type="dxa"/>
        <w:jc w:val="left"/>
        <w:tblInd w:w="0" w:type="dxa"/>
        <w:tblLayout w:type="fixed"/>
        <w:tblCellMar>
          <w:top w:w="28" w:type="dxa"/>
          <w:left w:w="28" w:type="dxa"/>
          <w:bottom w:w="28" w:type="dxa"/>
          <w:right w:w="28" w:type="dxa"/>
        </w:tblCellMar>
      </w:tblPr>
      <w:tblGrid>
        <w:gridCol w:w="161"/>
        <w:gridCol w:w="146"/>
        <w:gridCol w:w="146"/>
        <w:gridCol w:w="1893"/>
        <w:gridCol w:w="1893"/>
        <w:gridCol w:w="271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tcMar>
              <w:top w:w="0" w:type="dxa"/>
              <w:left w:w="0" w:type="dxa"/>
              <w:bottom w:w="0" w:type="dxa"/>
              <w:right w:w="0" w:type="dxa"/>
            </w:tcMar>
            <w:vAlign w:val="center"/>
          </w:tcPr>
          <w:p>
            <w:pPr>
              <w:pStyle w:val="TableContents"/>
              <w:bidi w:val="0"/>
              <w:spacing w:before="0" w:after="283"/>
              <w:jc w:val="left"/>
              <w:rPr/>
            </w:pPr>
            <w:r>
              <w:rPr/>
              <w:t> </w:t>
            </w:r>
          </w:p>
        </w:tc>
        <w:tc>
          <w:tcPr>
            <w:tcW w:w="2712"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r>
      <w:tr>
        <w:trPr/>
        <w:tc>
          <w:tcPr>
            <w:tcW w:w="453"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color w:val="000000"/>
              </w:rPr>
            </w:pPr>
            <w:r>
              <w:rPr>
                <w:color w:val="000000"/>
              </w:rPr>
              <w:t>☐</w:t>
            </w:r>
          </w:p>
        </w:tc>
        <w:tc>
          <w:tcPr>
            <w:tcW w:w="649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Transition Report pursuant to Section 13 or 15(d) of the Securities Exchange Act of 1934</w:t>
            </w:r>
          </w:p>
        </w:tc>
      </w:tr>
    </w:tbl>
    <w:p>
      <w:pPr>
        <w:pStyle w:val="TextBody"/>
        <w:bidi w:val="0"/>
        <w:jc w:val="left"/>
        <w:rPr>
          <w:rFonts w:ascii="Times New Roman" w:hAnsi="Times New Roman"/>
          <w:color w:val="000000"/>
          <w:sz w:val="18"/>
        </w:rPr>
      </w:pPr>
      <w:r>
        <w:rPr>
          <w:rFonts w:ascii="Times New Roman" w:hAnsi="Times New Roman"/>
          <w:color w:val="000000"/>
          <w:sz w:val="18"/>
        </w:rPr>
        <w:t>For the transition period from _________ to _________</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000-21129</w:t>
      </w:r>
    </w:p>
    <w:p>
      <w:pPr>
        <w:pStyle w:val="TextBody"/>
        <w:bidi w:val="0"/>
        <w:jc w:val="center"/>
        <w:rPr/>
      </w:pPr>
      <w:r>
        <w:rPr/>
        <w:t> </w:t>
      </w:r>
    </w:p>
    <w:p>
      <w:pPr>
        <w:pStyle w:val="TextBody"/>
        <w:bidi w:val="0"/>
        <w:jc w:val="center"/>
        <w:rPr>
          <w:rFonts w:ascii="Times New Roman" w:hAnsi="Times New Roman"/>
          <w:b/>
          <w:color w:val="000000"/>
          <w:sz w:val="36"/>
          <w:u w:val="single"/>
        </w:rPr>
      </w:pPr>
      <w:r>
        <w:rPr>
          <w:rFonts w:ascii="Times New Roman" w:hAnsi="Times New Roman"/>
          <w:b/>
          <w:color w:val="000000"/>
          <w:sz w:val="36"/>
          <w:u w:val="single"/>
        </w:rPr>
        <w:t>AWARE,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5098" w:type="dxa"/>
        <w:jc w:val="left"/>
        <w:tblInd w:w="0" w:type="dxa"/>
        <w:tblLayout w:type="fixed"/>
        <w:tblCellMar>
          <w:top w:w="28" w:type="dxa"/>
          <w:left w:w="28" w:type="dxa"/>
          <w:bottom w:w="28" w:type="dxa"/>
          <w:right w:w="28" w:type="dxa"/>
        </w:tblCellMar>
      </w:tblPr>
      <w:tblGrid>
        <w:gridCol w:w="2281"/>
        <w:gridCol w:w="146"/>
        <w:gridCol w:w="267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04-2911026</w:t>
            </w:r>
          </w:p>
        </w:tc>
      </w:tr>
      <w:tr>
        <w:trPr/>
        <w:tc>
          <w:tcPr>
            <w:tcW w:w="22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22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76 Blanchard Road, Burlington, Massachusetts, 01803</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w:t>
      </w:r>
    </w:p>
    <w:p>
      <w:pPr>
        <w:pStyle w:val="TextBody"/>
        <w:bidi w:val="0"/>
        <w:jc w:val="center"/>
        <w:rPr>
          <w:rFonts w:ascii="Times New Roman" w:hAnsi="Times New Roman"/>
          <w:color w:val="000000"/>
          <w:sz w:val="16"/>
        </w:rPr>
      </w:pPr>
      <w:r>
        <w:rPr>
          <w:rFonts w:ascii="Times New Roman" w:hAnsi="Times New Roman"/>
          <w:color w:val="000000"/>
          <w:sz w:val="16"/>
        </w:rPr>
        <w:t>(Zip Code)</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(781) 687-0300</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center"/>
        <w:rPr/>
      </w:pPr>
      <w:r>
        <w:rPr/>
        <w:t> </w:t>
      </w:r>
    </w:p>
    <w:p>
      <w:pPr>
        <w:pStyle w:val="TextBody"/>
        <w:bidi w:val="0"/>
        <w:jc w:val="left"/>
        <w:rPr/>
      </w:pPr>
      <w:r>
        <w:rPr/>
        <w:t> </w:t>
      </w:r>
    </w:p>
    <w:tbl>
      <w:tblPr>
        <w:tblW w:w="8140" w:type="dxa"/>
        <w:jc w:val="left"/>
        <w:tblInd w:w="0" w:type="dxa"/>
        <w:tblLayout w:type="fixed"/>
        <w:tblCellMar>
          <w:top w:w="28" w:type="dxa"/>
          <w:left w:w="28" w:type="dxa"/>
          <w:bottom w:w="28" w:type="dxa"/>
          <w:right w:w="28" w:type="dxa"/>
        </w:tblCellMar>
      </w:tblPr>
      <w:tblGrid>
        <w:gridCol w:w="3106"/>
        <w:gridCol w:w="146"/>
        <w:gridCol w:w="1276"/>
        <w:gridCol w:w="146"/>
        <w:gridCol w:w="346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AWRE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___</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number of shares outstanding of the registrant’s common stock as of July 27, 2026 was 21,812,637.</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AWARE,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 ENDED JUNE 30, 2026</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3"/>
        <w:gridCol w:w="146"/>
        <w:gridCol w:w="8724"/>
        <w:gridCol w:w="572"/>
      </w:tblGrid>
      <w:tr>
        <w:trPr/>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2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4"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FINANCIAL INFORMATION</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4" w:type="dxa"/>
            <w:tcBorders/>
            <w:tcMar>
              <w:top w:w="0" w:type="dxa"/>
              <w:left w:w="0" w:type="dxa"/>
              <w:bottom w:w="0" w:type="dxa"/>
              <w:right w:w="0" w:type="dxa"/>
            </w:tcMar>
            <w:vAlign w:val="center"/>
          </w:tcPr>
          <w:p>
            <w:pPr>
              <w:pStyle w:val="TableContents"/>
              <w:bidi w:val="0"/>
              <w:spacing w:before="0" w:after="283"/>
              <w:jc w:val="left"/>
              <w:rPr/>
            </w:pPr>
            <w:hyperlink w:anchor="item_1_consolidated_financial_statement">
              <w:r>
                <w:rPr>
                  <w:rStyle w:val="InternetLink"/>
                  <w:rFonts w:ascii="Times New Roman" w:hAnsi="Times New Roman"/>
                  <w:color w:val="0000FF"/>
                  <w:sz w:val="20"/>
                  <w:u w:val="single"/>
                </w:rPr>
                <w:t>Unaudited Consolidated Financial Statements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4"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June 30, 2026 and December 31, 2025</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4"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 and Comprehensive Loss for the Three and Six Months Ended June 30, 2026 and June 30, 2025</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4"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Six Months Ended June 30, 2026 and June 30, 2025.</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4" w:type="dxa"/>
            <w:tcBorders/>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Consolidated Statements of Stockholders’ Equity for the Three and Six Months Ended June 30, 2026 and June 30, 2025.</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4"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4"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
              <w:r>
                <w:rPr>
                  <w:rStyle w:val="InternetLink"/>
                  <w:rFonts w:ascii="Times New Roman" w:hAnsi="Times New Roman"/>
                  <w:color w:val="0000FF"/>
                  <w:sz w:val="20"/>
                  <w:u w:val="single"/>
                </w:rPr>
                <w:t>Management’s Discussion and Analysis of Financial Condition and Results of Operations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4" w:type="dxa"/>
            <w:tcBorders/>
            <w:tcMar>
              <w:top w:w="0" w:type="dxa"/>
              <w:left w:w="0" w:type="dxa"/>
              <w:bottom w:w="0" w:type="dxa"/>
              <w:right w:w="0" w:type="dxa"/>
            </w:tcMar>
            <w:vAlign w:val="center"/>
          </w:tcPr>
          <w:p>
            <w:pPr>
              <w:pStyle w:val="TableContents"/>
              <w:bidi w:val="0"/>
              <w:spacing w:before="0" w:after="283"/>
              <w:jc w:val="left"/>
              <w:rPr/>
            </w:pPr>
            <w:hyperlink w:anchor="item_controls_and_procedures">
              <w:r>
                <w:rPr>
                  <w:rStyle w:val="InternetLink"/>
                  <w:rFonts w:ascii="Times New Roman" w:hAnsi="Times New Roman"/>
                  <w:color w:val="0000FF"/>
                  <w:sz w:val="20"/>
                  <w:u w:val="single"/>
                </w:rPr>
                <w:t>Controls and Procedures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4"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4"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4"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4"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Other Information</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4" w:type="dxa"/>
            <w:tcBorders/>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Exhibits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4"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2"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20"/>
              </w:rPr>
            </w:pPr>
            <w:r>
              <w:rPr>
                <w:rFonts w:ascii="Times New Roman" w:hAnsi="Times New Roman"/>
                <w:color w:val="000000"/>
                <w:sz w:val="20"/>
              </w:rPr>
              <w:t>23</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1_financial_information"/>
      <w:bookmarkEnd w:id="2"/>
      <w:r>
        <w:rPr>
          <w:rFonts w:ascii="Times New Roman" w:hAnsi="Times New Roman"/>
          <w:b/>
          <w:color w:val="000000"/>
          <w:sz w:val="20"/>
        </w:rPr>
        <w:t>PART I FINANCIAL INFORMATION</w:t>
      </w:r>
    </w:p>
    <w:p>
      <w:pPr>
        <w:pStyle w:val="TextBody"/>
        <w:bidi w:val="0"/>
        <w:jc w:val="center"/>
        <w:rPr>
          <w:rFonts w:ascii="Times New Roman" w:hAnsi="Times New Roman"/>
          <w:b/>
          <w:color w:val="000000"/>
          <w:sz w:val="20"/>
        </w:rPr>
      </w:pPr>
      <w:bookmarkStart w:id="3" w:name="item_1_consolidated_financial_statement"/>
      <w:bookmarkEnd w:id="3"/>
      <w:r>
        <w:rPr>
          <w:rFonts w:ascii="Times New Roman" w:hAnsi="Times New Roman"/>
          <w:b/>
          <w:color w:val="000000"/>
          <w:sz w:val="20"/>
        </w:rPr>
        <w:t>ITEM 1: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AWARE, INC.</w:t>
      </w:r>
    </w:p>
    <w:p>
      <w:pPr>
        <w:pStyle w:val="TextBody"/>
        <w:bidi w:val="0"/>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0"/>
        <w:gridCol w:w="146"/>
        <w:gridCol w:w="211"/>
        <w:gridCol w:w="781"/>
        <w:gridCol w:w="166"/>
        <w:gridCol w:w="146"/>
        <w:gridCol w:w="236"/>
        <w:gridCol w:w="876"/>
        <w:gridCol w:w="593"/>
      </w:tblGrid>
      <w:tr>
        <w:trPr/>
        <w:tc>
          <w:tcPr>
            <w:tcW w:w="7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37,195</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$1.00 par value; 1,000,000 shares authorized,</w:t>
              <w:br/>
              <w:t>   none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$.01 par value; 70,000,000 shares authorized; issued and outstanding of 21,703,961 as of June 30, 2026 and 21,444,665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101,510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(75,816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37,195</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AWARE, INC.</w:t>
      </w:r>
    </w:p>
    <w:p>
      <w:pPr>
        <w:pStyle w:val="TextBody"/>
        <w:bidi w:val="0"/>
        <w:jc w:val="center"/>
        <w:rPr>
          <w:rFonts w:ascii="Times New Roman" w:hAnsi="Times New Roman"/>
          <w:b/>
          <w:color w:val="000000"/>
          <w:sz w:val="20"/>
        </w:rPr>
      </w:pPr>
      <w:bookmarkStart w:id="5" w:name="consolidated_statements_operations"/>
      <w:bookmarkEnd w:id="5"/>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832" w:type="dxa"/>
        <w:jc w:val="left"/>
        <w:tblInd w:w="0" w:type="dxa"/>
        <w:tblLayout w:type="fixed"/>
        <w:tblCellMar>
          <w:top w:w="28" w:type="dxa"/>
          <w:left w:w="28" w:type="dxa"/>
          <w:bottom w:w="28" w:type="dxa"/>
          <w:right w:w="28" w:type="dxa"/>
        </w:tblCellMar>
      </w:tblPr>
      <w:tblGrid>
        <w:gridCol w:w="4611"/>
        <w:gridCol w:w="146"/>
        <w:gridCol w:w="211"/>
        <w:gridCol w:w="676"/>
        <w:gridCol w:w="166"/>
        <w:gridCol w:w="146"/>
        <w:gridCol w:w="211"/>
        <w:gridCol w:w="676"/>
        <w:gridCol w:w="166"/>
        <w:gridCol w:w="146"/>
        <w:gridCol w:w="211"/>
        <w:gridCol w:w="676"/>
        <w:gridCol w:w="166"/>
        <w:gridCol w:w="146"/>
        <w:gridCol w:w="211"/>
        <w:gridCol w:w="676"/>
        <w:gridCol w:w="5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AWARE, INC.</w:t>
      </w:r>
    </w:p>
    <w:p>
      <w:pPr>
        <w:pStyle w:val="TextBody"/>
        <w:bidi w:val="0"/>
        <w:jc w:val="center"/>
        <w:rPr>
          <w:rFonts w:ascii="Times New Roman" w:hAnsi="Times New Roman"/>
          <w:b/>
          <w:color w:val="000000"/>
          <w:sz w:val="20"/>
        </w:rPr>
      </w:pPr>
      <w:bookmarkStart w:id="6" w:name="consolidated_statements_cash_flows"/>
      <w:bookmarkEnd w:id="6"/>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07"/>
        <w:gridCol w:w="146"/>
        <w:gridCol w:w="211"/>
        <w:gridCol w:w="631"/>
        <w:gridCol w:w="166"/>
        <w:gridCol w:w="146"/>
        <w:gridCol w:w="211"/>
        <w:gridCol w:w="676"/>
        <w:gridCol w:w="1011"/>
      </w:tblGrid>
      <w:tr>
        <w:trPr/>
        <w:tc>
          <w:tcPr>
            <w:tcW w:w="7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w:t>
              <w:br/>
              <w:t>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0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0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700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00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00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700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made for taxes of employees who surrendered shares related to unrestricted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700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The accompanying notes are an integral part of the consolidated financial statements</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AWARE, INC.</w:t>
      </w:r>
    </w:p>
    <w:p>
      <w:pPr>
        <w:pStyle w:val="TextBody"/>
        <w:bidi w:val="0"/>
        <w:jc w:val="center"/>
        <w:rPr>
          <w:rFonts w:ascii="Times New Roman" w:hAnsi="Times New Roman"/>
          <w:b/>
          <w:color w:val="000000"/>
          <w:sz w:val="20"/>
        </w:rPr>
      </w:pPr>
      <w:bookmarkStart w:id="7" w:name="consolidated_statements_stockholders_equ"/>
      <w:bookmarkEnd w:id="7"/>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43"/>
        <w:gridCol w:w="146"/>
        <w:gridCol w:w="146"/>
        <w:gridCol w:w="601"/>
        <w:gridCol w:w="166"/>
        <w:gridCol w:w="146"/>
        <w:gridCol w:w="236"/>
        <w:gridCol w:w="455"/>
        <w:gridCol w:w="146"/>
        <w:gridCol w:w="146"/>
        <w:gridCol w:w="196"/>
        <w:gridCol w:w="691"/>
        <w:gridCol w:w="166"/>
        <w:gridCol w:w="146"/>
        <w:gridCol w:w="240"/>
        <w:gridCol w:w="811"/>
        <w:gridCol w:w="166"/>
        <w:gridCol w:w="146"/>
        <w:gridCol w:w="577"/>
        <w:gridCol w:w="861"/>
        <w:gridCol w:w="166"/>
        <w:gridCol w:w="146"/>
        <w:gridCol w:w="256"/>
        <w:gridCol w:w="791"/>
        <w:gridCol w:w="415"/>
      </w:tblGrid>
      <w:tr>
        <w:trPr/>
        <w:tc>
          <w:tcPr>
            <w:tcW w:w="2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and Six Months Ended</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26,137</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unrestricted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(3,458</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22,886</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unrestricted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Shares surrendered by employees to pay taxes related to unrestricted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20,643</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49"/>
        <w:gridCol w:w="146"/>
        <w:gridCol w:w="146"/>
        <w:gridCol w:w="601"/>
        <w:gridCol w:w="166"/>
        <w:gridCol w:w="146"/>
        <w:gridCol w:w="236"/>
        <w:gridCol w:w="455"/>
        <w:gridCol w:w="146"/>
        <w:gridCol w:w="146"/>
        <w:gridCol w:w="196"/>
        <w:gridCol w:w="691"/>
        <w:gridCol w:w="166"/>
        <w:gridCol w:w="146"/>
        <w:gridCol w:w="240"/>
        <w:gridCol w:w="811"/>
        <w:gridCol w:w="166"/>
        <w:gridCol w:w="146"/>
        <w:gridCol w:w="544"/>
        <w:gridCol w:w="807"/>
        <w:gridCol w:w="146"/>
        <w:gridCol w:w="146"/>
        <w:gridCol w:w="257"/>
        <w:gridCol w:w="792"/>
        <w:gridCol w:w="414"/>
      </w:tblGrid>
      <w:tr>
        <w:trPr/>
        <w:tc>
          <w:tcPr>
            <w:tcW w:w="2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6"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and Six Months Ended</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30,896</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unrestricted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29,469</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unrestricted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Shares surrendered by employees to pay taxes related to unrestricted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28,050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AWARE, INC.</w:t>
      </w:r>
    </w:p>
    <w:p>
      <w:pPr>
        <w:pStyle w:val="TextBody"/>
        <w:bidi w:val="0"/>
        <w:jc w:val="center"/>
        <w:rPr>
          <w:rFonts w:ascii="Times New Roman" w:hAnsi="Times New Roman"/>
          <w:sz w:val="20"/>
        </w:rPr>
      </w:pPr>
      <w:bookmarkStart w:id="8" w:name="notes_to_consolidated_financial_statemen"/>
      <w:bookmarkEnd w:id="8"/>
      <w:r>
        <w:rPr>
          <w:rFonts w:ascii="Times New Roman" w:hAnsi="Times New Roman"/>
          <w:b/>
          <w:color w:val="000000"/>
          <w:sz w:val="20"/>
        </w:rPr>
        <w:t>NOTES TO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 – Description of the Company and Basis of Presentation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Description of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leading biometric identity platform company that validates and secures identities using proven and trusted biometrics solutions. Our portfolio enables government agencies and commercial entities to enroll, identify, authenticate and enable using biometrics, which comprise physiological characteristics, such as fingerprints, faces, irises and voices.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color w:val="000000"/>
          <w:sz w:val="20"/>
        </w:rPr>
        <w:t>Enroll:</w:t>
      </w:r>
      <w:r>
        <w:rPr>
          <w:color w:val="000000"/>
        </w:rPr>
        <w:t xml:space="preserve"> </w:t>
      </w:r>
      <w:r>
        <w:rPr>
          <w:rFonts w:ascii="Times New Roman" w:hAnsi="Times New Roman"/>
          <w:color w:val="000000"/>
          <w:sz w:val="20"/>
        </w:rPr>
        <w:t>Register biometric identities into an organization’s secure database</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color w:val="000000"/>
          <w:sz w:val="20"/>
        </w:rPr>
        <w:t>Identify:</w:t>
      </w:r>
      <w:r>
        <w:rPr>
          <w:color w:val="000000"/>
        </w:rPr>
        <w:t xml:space="preserve"> </w:t>
      </w:r>
      <w:r>
        <w:rPr>
          <w:rFonts w:ascii="Times New Roman" w:hAnsi="Times New Roman"/>
          <w:color w:val="000000"/>
          <w:sz w:val="20"/>
        </w:rPr>
        <w:t>Utilize an organization’s secure database to accurately identify individuals using biometric data</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color w:val="000000"/>
          <w:sz w:val="20"/>
        </w:rPr>
        <w:t>Authenticate:</w:t>
      </w:r>
      <w:r>
        <w:rPr>
          <w:color w:val="000000"/>
        </w:rPr>
        <w:t xml:space="preserve"> </w:t>
      </w:r>
      <w:r>
        <w:rPr>
          <w:rFonts w:ascii="Times New Roman" w:hAnsi="Times New Roman"/>
          <w:color w:val="000000"/>
          <w:sz w:val="20"/>
        </w:rPr>
        <w:t>Provide frictionless multi-factor, passwordless access to secured accounts and databases with biometric verification</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color w:val="000000"/>
          <w:sz w:val="20"/>
        </w:rPr>
        <w:t>Enable:</w:t>
      </w:r>
      <w:r>
        <w:rPr>
          <w:color w:val="000000"/>
        </w:rPr>
        <w:t xml:space="preserve"> </w:t>
      </w:r>
      <w:r>
        <w:rPr>
          <w:rFonts w:ascii="Times New Roman" w:hAnsi="Times New Roman"/>
          <w:color w:val="000000"/>
          <w:sz w:val="20"/>
        </w:rPr>
        <w:t>Manage the lifecycle of secure identities through optimized biometric interchanges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comprehensive portfolio of biometric solutions is based on innovative, robust products designed explicitly for ease of integration, including customer-managed and integration ready biometric frameworks, platforms, software development kits (“SDKs”) and orchestration services. Principal government applications of biometrics systems include border control, visa applicant screening, law enforcement, national defense, intelligence, secure credentialing, access control, and background checks. Principal commercial applications include mobile enrollment, user authentication, identity proofing, and secure transaction enablement.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products span multiple biometric modalities including fingerprint, face, iris and voice, and provide interoperable, standards-compliant, field-proven biometric functionality. Our products are used to capture, verify, format, compress and decompress biometric images as well as aggregate, analyze, process, match and transport those images and templates within biometric systems. For large deployments, we may provide project management and software engineering services. We sell our biometrics software products and services globally through a multifaceted distribution strategy using systems integrators, original equipment manufacturers (“OEMs”), value-added resellers ("VARs"), partners, and directly to end user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amounts in the consolidated financial statements and associated notes may not add due to rounding. All percentages have been calculated using unrounded amounts.</w:t>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consolidated financial statements have been prepared in accordance with the instructions for Form 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two years ended December 31, 2025 in conjunction with our 2025 Annual Report on Form 10-K. This Form 10-Q should be read in conjunction with that Form 10-K.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accompanying unaudited consolidated balance sheets, statements of operations and comprehensive loss, statements of cash flows, and statements of stockholders’ equity reflect all adjustments (consisting only of normal recurring items) which are, in the opinion of management, necessary for a fair presentation of financial position at June 30, 2026, and of operations and cash flows for the interim periods ended June 30, 2026 and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results of operations for the interim periods ended June 30, 2026 are not necessarily indicative of the results to be expected for the year. </w:t>
      </w:r>
    </w:p>
    <w:p>
      <w:pPr>
        <w:pStyle w:val="TextBody"/>
        <w:bidi w:val="0"/>
        <w:spacing w:before="200" w:after="283"/>
        <w:jc w:val="both"/>
        <w:rPr>
          <w:rFonts w:ascii="Times New Roman" w:hAnsi="Times New Roman"/>
          <w:sz w:val="20"/>
        </w:rPr>
      </w:pPr>
      <w:r>
        <w:rPr>
          <w:rFonts w:ascii="Times New Roman" w:hAnsi="Times New Roman"/>
          <w:i/>
          <w:color w:val="000000"/>
          <w:sz w:val="20"/>
        </w:rPr>
        <w:t>Reclassifications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prior period amounts have been reclassified to conform to the current period presentation. Beginning in the quarter ended March 31, 2026, the Company revised the presentation of subscription-based SaaS revenue to classify it within services and other revenue rather than software maintenance revenue. Accordingly, $50 thousand and $98 thousand of revenue for the three and six months ended June 30, 2025, respectively, have been reclassified to conform to the current period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$0.1 million and $0.2 million of amortization expense related to acquired intangible assets has been reclassified from cost of revenue to general and administrative expense for the three and six months ended June 30, 2025,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reclassifications had no impact on previously reported total revenue, loss from operations, net loss or loss per share and had no impact on the consolidated balance sheets, statements of cash flows, or changes in stockholders’ equity.</w:t>
      </w:r>
    </w:p>
    <w:p>
      <w:pPr>
        <w:pStyle w:val="TextBody"/>
        <w:bidi w:val="0"/>
        <w:spacing w:before="400" w:after="283"/>
        <w:jc w:val="both"/>
        <w:rPr>
          <w:rFonts w:ascii="Times New Roman" w:hAnsi="Times New Roman"/>
          <w:i/>
          <w:color w:val="000000"/>
          <w:sz w:val="20"/>
        </w:rPr>
      </w:pPr>
      <w:r>
        <w:rPr>
          <w:rFonts w:ascii="Times New Roman" w:hAnsi="Times New Roman"/>
          <w:i/>
          <w:color w:val="000000"/>
          <w:sz w:val="20"/>
        </w:rPr>
        <w:t>Principles of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consolidated financial statements include the accounts of Aware, Inc. and its subsidiaries, Aware Security Corporation and Fortr3ss, Inc. Intercompany accounts and transactions have been eliminated in consolidation.</w:t>
      </w:r>
    </w:p>
    <w:p>
      <w:pPr>
        <w:pStyle w:val="TextBody"/>
        <w:bidi w:val="0"/>
        <w:spacing w:before="400" w:after="283"/>
        <w:jc w:val="both"/>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our consolidated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 of revenues and expenses during the reporting period. Estimates used in these financial statements include but are not limited to, revenue recognition, goodwill and long-lived asset impairment, stock-based compensation, income taxes, and allowance for credit losses.</w:t>
      </w:r>
    </w:p>
    <w:p>
      <w:pPr>
        <w:pStyle w:val="TextBody"/>
        <w:bidi w:val="0"/>
        <w:spacing w:before="400" w:after="283"/>
        <w:jc w:val="both"/>
        <w:rPr>
          <w:rFonts w:ascii="Times New Roman" w:hAnsi="Times New Roman"/>
          <w:i/>
          <w:color w:val="000000"/>
          <w:sz w:val="20"/>
        </w:rPr>
      </w:pPr>
      <w:r>
        <w:rPr>
          <w:rFonts w:ascii="Times New Roman" w:hAnsi="Times New Roman"/>
          <w:i/>
          <w:color w:val="000000"/>
          <w:sz w:val="20"/>
        </w:rPr>
        <w:t>Recent Accounting Pronouncements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December 2023, the Financial Accounting Standards Board (“FASB”) issued Accounting Standards Update (“ASU”) No. 2023-09, Income Taxes (Topic 740): Improvements to Income Tax Disclosures, which requires an annual tabular effective tax rate reconciliation disclosure including information for specified categories and jurisdiction levels, as well as disclosure of income taxes paid, net of refunds received, disaggregated by federal, state/local, and significant foreign jurisdiction. This ASU was effective for the Company’s fiscal year ended December 31, 2025 and has been adopted in these consolidated financial statements. The adoption did not have a material impact on the Company’s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2025, the FASB issued ASU No. 2025-06, Intangibles—Goodwill and Other—Internal-Use Software (Subtopic 350-40): Targeted Improvements to the Accounting for Internal-Use Software, which amends existing guidance related to the accounting for internal-use software costs. The amendments are intended to improve the relevance of information provided to investors about a company’s investments in internal-use software and align the accounting for internal-use software costs with modern software development practices. This ASU is effective for fiscal years beginning after December 15, 2026, and interim periods within those fiscal years, with early adoption permitted. The Company is currently evaluating the impact that adoption of this ASU will have on the Company's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2 – Revenue Recognition</w:t>
      </w:r>
    </w:p>
    <w:p>
      <w:pPr>
        <w:pStyle w:val="TextBody"/>
        <w:bidi w:val="0"/>
        <w:spacing w:before="200" w:after="283"/>
        <w:jc w:val="both"/>
        <w:rPr>
          <w:rFonts w:ascii="Times New Roman" w:hAnsi="Times New Roman"/>
          <w:sz w:val="20"/>
        </w:rPr>
      </w:pPr>
      <w:r>
        <w:rPr>
          <w:rFonts w:ascii="Times New Roman" w:hAnsi="Times New Roman"/>
          <w:color w:val="000000"/>
          <w:sz w:val="20"/>
        </w:rPr>
        <w:t>We recognize revenue in accordance with Accounting Standards Codification (“ASC”) Topic 606, “</w:t>
      </w:r>
      <w:r>
        <w:rPr>
          <w:rFonts w:ascii="Times New Roman" w:hAnsi="Times New Roman"/>
          <w:i/>
          <w:color w:val="000000"/>
          <w:sz w:val="20"/>
        </w:rPr>
        <w:t>Revenue from Contracts with Customers”</w:t>
      </w:r>
      <w:r>
        <w:rPr>
          <w:rFonts w:ascii="Times New Roman" w:hAnsi="Times New Roman"/>
          <w:color w:val="000000"/>
          <w:sz w:val="20"/>
        </w:rPr>
        <w:t xml:space="preserve"> (“ASC 606”). Under ASC 606, we apply the following five step model: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 Identify the contract with the customer;</w:t>
      </w:r>
    </w:p>
    <w:p>
      <w:pPr>
        <w:pStyle w:val="TextBody"/>
        <w:bidi w:val="0"/>
        <w:jc w:val="both"/>
        <w:rPr>
          <w:rFonts w:ascii="Times New Roman" w:hAnsi="Times New Roman"/>
          <w:color w:val="000000"/>
          <w:sz w:val="20"/>
        </w:rPr>
      </w:pPr>
      <w:r>
        <w:rPr>
          <w:rFonts w:ascii="Times New Roman" w:hAnsi="Times New Roman"/>
          <w:color w:val="000000"/>
          <w:sz w:val="20"/>
        </w:rPr>
        <w:t>2. Identify the performance obligations in the contract;</w:t>
      </w:r>
    </w:p>
    <w:p>
      <w:pPr>
        <w:pStyle w:val="TextBody"/>
        <w:bidi w:val="0"/>
        <w:jc w:val="both"/>
        <w:rPr>
          <w:rFonts w:ascii="Times New Roman" w:hAnsi="Times New Roman"/>
          <w:color w:val="000000"/>
          <w:sz w:val="20"/>
        </w:rPr>
      </w:pPr>
      <w:r>
        <w:rPr>
          <w:rFonts w:ascii="Times New Roman" w:hAnsi="Times New Roman"/>
          <w:color w:val="000000"/>
          <w:sz w:val="20"/>
        </w:rPr>
        <w:t>3. Determine the transaction price;</w:t>
      </w:r>
    </w:p>
    <w:p>
      <w:pPr>
        <w:pStyle w:val="TextBody"/>
        <w:bidi w:val="0"/>
        <w:jc w:val="both"/>
        <w:rPr>
          <w:rFonts w:ascii="Times New Roman" w:hAnsi="Times New Roman"/>
          <w:color w:val="000000"/>
          <w:sz w:val="20"/>
        </w:rPr>
      </w:pPr>
      <w:r>
        <w:rPr>
          <w:rFonts w:ascii="Times New Roman" w:hAnsi="Times New Roman"/>
          <w:color w:val="000000"/>
          <w:sz w:val="20"/>
        </w:rPr>
        <w:t>4. Allocate the transaction price to the performance obligations in the contract; and</w:t>
      </w:r>
    </w:p>
    <w:p>
      <w:pPr>
        <w:pStyle w:val="TextBody"/>
        <w:bidi w:val="0"/>
        <w:jc w:val="both"/>
        <w:rPr>
          <w:rFonts w:ascii="Times New Roman" w:hAnsi="Times New Roman"/>
          <w:color w:val="000000"/>
          <w:sz w:val="20"/>
        </w:rPr>
      </w:pPr>
      <w:r>
        <w:rPr>
          <w:rFonts w:ascii="Times New Roman" w:hAnsi="Times New Roman"/>
          <w:color w:val="000000"/>
          <w:sz w:val="20"/>
        </w:rPr>
        <w:t>5. Recognize revenue when (or as) each performance obligation is satisfied.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categorize revenue as software licenses, software maintenance, or services and other revenue, which includes SaaS subscription arrangements. Revenue from software licenses is recognized at a point in time upon delivery, provided all other revenue recognition criteria are met. We recognize software maintenance revenue and revenue from SaaS subscription arrangements over time on a straight-line basis over the contract period. Services revenue is recognized over time as the services are delivered using an input method (i.e., labor hours incurred as a percentage of total labor hours budgeted), provided all other revenue recognition criteria are met. Other revenue includes hardware sales that may be included in a software license and is recognized at a point in time upon delivery, provided all other revenue recognition criteria are met.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selling software licenses, software maintenance and software services on a standalone basis, a significant portion of our contracts include multiple performance obligations, which require an allocation of the transaction price to each distinct performance obligation based on a relative standalone selling price (“SSP”) basis. The SSP is the price at which we would sell a promised good or service separately to a customer. The best estimate of SSP is the observable price of a good or service when we sell that good or service separately. A contractually stated price or a list price for a good or service may be the SSP of that good or service. We use a range of selling prices to estimate SSP when we sell each of the goods and services separately and need to determine whether there is a discount that needs to be allocated based on the relative SSP of the various goods and services within multiple performance obligation arrangements. In instances where SSP is not directly observable, such as when we do not sell the product or service separately, we typically determine the SSP using an adjusted market assessment approach using information that may include market conditions and other observable inputs. We typically have more than one SSP for individual goods and services due to the stratification of those goods and services by customer. In these instances, we may use information such as the nature of the customer and distribution channel in determining the SSP.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software licenses and significant customization engineering services are sold together, they are accounted for as a combined performance obligation, as the software licenses are generally highly dependent on, and interrelated with, the associated customization services and therefore are not distinct performance obligations. Revenue for the combined performance obligation is recognized over time as the services are delivered using an input method (i.e., labor hours incurred as a percentage of total labor hours budgeted).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When subscription-based software is sold, the subscription-based software and software maintenance are generally considered distinct performance obligations. The transaction price is allocated to subscription-based software and the software maintenance based on the relative SSP of each performance obligation. We sell subscription-based software for a fixed fee and/or a usage-based royalty fee, sometimes subject to a minimum guarantee. When the amount is in the form of a fixed fee, including the guaranteed minimum in subscription-based royalties, revenue is allocated to the subscription-based software and recognized at a point in time upon delivery, provided all other revenue recognition criteria are met. Revenue allocated to the software maintenance is recognized over the contract term on a straight-line basis. Any subscription-based software fees earned not subject to the guaranteed minimum or earned in excess of the minimum amount are recognized as revenue when the subsequent usage occurs.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contracts can include variable fees, such as the option to purchase additional usage of a previously delivered software license. We may also provide pricing concessions to clients, a business practice that also gives rise to variable fees in contracts. We include variable fees in the determination of total transaction price if it is not probable that a future significant reversal of revenue will occur. We use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expected value or most likely value amount, whichever is more appropriate for specific circumstances, to estimate variable consideration, and the estimates are based on the level of historical price concessions offered to clients.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amount of consideration is typically not adjusted for a significant financing component if the time between payment and the transfer of the related good or service is one year or less under the practical expedient in the guidance. Our revenue arrangements are typically accounted for under such expedient, as payment is typically due within 30 to 60 days. During the three and six month periods ended June 30, 2026 and 2025, none of our contracts contained a significant financing component.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from Software as a Service (“SaaS”) contracts is recognized ratably over the subscription period in accordance with the terms of the customer agreement. For the three months ended June 30, 2026 and 2025, we recognized $129 thousand and $50 thousand, respectively, in SaaS revenue. For the six months ended June 30, 2026 and 2025, we recognized $0.3 million and $0.1 million, respectively, in SaaS revenue. SaaS revenue is included in services and other revenue in the consolidated statements of operations.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Cost of revenue associated with each category of revenue may include internal engineering labor, third-party contractors, software license fees, and hardware costs.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Disaggregation of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organize ourselves into a single segment that reports to the Chief Executive Officer, who is our CODM. We conduct our operations in the United States and sell our products and services to domestic and international customers. Revenue generated from the following geographic regions was (in thousands):</w:t>
      </w:r>
    </w:p>
    <w:p>
      <w:pPr>
        <w:pStyle w:val="TextBody"/>
        <w:bidi w:val="0"/>
        <w:spacing w:before="200" w:after="283"/>
        <w:jc w:val="both"/>
        <w:rPr/>
      </w:pPr>
      <w:r>
        <w:rPr/>
        <w:t> </w:t>
      </w:r>
    </w:p>
    <w:tbl>
      <w:tblPr>
        <w:tblW w:w="5845" w:type="dxa"/>
        <w:jc w:val="left"/>
        <w:tblInd w:w="0" w:type="dxa"/>
        <w:tblLayout w:type="fixed"/>
        <w:tblCellMar>
          <w:top w:w="28" w:type="dxa"/>
          <w:left w:w="28" w:type="dxa"/>
          <w:bottom w:w="28" w:type="dxa"/>
          <w:right w:w="28" w:type="dxa"/>
        </w:tblCellMar>
      </w:tblPr>
      <w:tblGrid>
        <w:gridCol w:w="1486"/>
        <w:gridCol w:w="146"/>
        <w:gridCol w:w="213"/>
        <w:gridCol w:w="577"/>
        <w:gridCol w:w="147"/>
        <w:gridCol w:w="147"/>
        <w:gridCol w:w="213"/>
        <w:gridCol w:w="577"/>
        <w:gridCol w:w="146"/>
        <w:gridCol w:w="146"/>
        <w:gridCol w:w="211"/>
        <w:gridCol w:w="571"/>
        <w:gridCol w:w="146"/>
        <w:gridCol w:w="146"/>
        <w:gridCol w:w="211"/>
        <w:gridCol w:w="571"/>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Brazil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World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by timing of transfer of goods or services was (in thousands):</w:t>
      </w:r>
    </w:p>
    <w:p>
      <w:pPr>
        <w:pStyle w:val="TextBody"/>
        <w:bidi w:val="0"/>
        <w:jc w:val="both"/>
        <w:rPr/>
      </w:pPr>
      <w:r>
        <w:rPr/>
        <w:t> </w:t>
      </w:r>
    </w:p>
    <w:tbl>
      <w:tblPr>
        <w:tblW w:w="8230" w:type="dxa"/>
        <w:jc w:val="left"/>
        <w:tblInd w:w="0" w:type="dxa"/>
        <w:tblLayout w:type="fixed"/>
        <w:tblCellMar>
          <w:top w:w="28" w:type="dxa"/>
          <w:left w:w="28" w:type="dxa"/>
          <w:bottom w:w="28" w:type="dxa"/>
          <w:right w:w="28" w:type="dxa"/>
        </w:tblCellMar>
      </w:tblPr>
      <w:tblGrid>
        <w:gridCol w:w="3871"/>
        <w:gridCol w:w="146"/>
        <w:gridCol w:w="213"/>
        <w:gridCol w:w="577"/>
        <w:gridCol w:w="147"/>
        <w:gridCol w:w="147"/>
        <w:gridCol w:w="213"/>
        <w:gridCol w:w="577"/>
        <w:gridCol w:w="146"/>
        <w:gridCol w:w="146"/>
        <w:gridCol w:w="211"/>
        <w:gridCol w:w="571"/>
        <w:gridCol w:w="146"/>
        <w:gridCol w:w="146"/>
        <w:gridCol w:w="211"/>
        <w:gridCol w:w="571"/>
        <w:gridCol w:w="1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Goods or services transferred at a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Goods or services transferred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by contract type was (in thousands):</w:t>
      </w:r>
    </w:p>
    <w:tbl>
      <w:tblPr>
        <w:tblW w:w="6850" w:type="dxa"/>
        <w:jc w:val="left"/>
        <w:tblInd w:w="0" w:type="dxa"/>
        <w:tblLayout w:type="fixed"/>
        <w:tblCellMar>
          <w:top w:w="28" w:type="dxa"/>
          <w:left w:w="28" w:type="dxa"/>
          <w:bottom w:w="28" w:type="dxa"/>
          <w:right w:w="28" w:type="dxa"/>
        </w:tblCellMar>
      </w:tblPr>
      <w:tblGrid>
        <w:gridCol w:w="2491"/>
        <w:gridCol w:w="146"/>
        <w:gridCol w:w="213"/>
        <w:gridCol w:w="577"/>
        <w:gridCol w:w="147"/>
        <w:gridCol w:w="147"/>
        <w:gridCol w:w="213"/>
        <w:gridCol w:w="577"/>
        <w:gridCol w:w="146"/>
        <w:gridCol w:w="146"/>
        <w:gridCol w:w="211"/>
        <w:gridCol w:w="571"/>
        <w:gridCol w:w="146"/>
        <w:gridCol w:w="146"/>
        <w:gridCol w:w="211"/>
        <w:gridCol w:w="571"/>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service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Subscription-based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Revenue from subscription-based contracts includes revenue that may be recognized at a point in time or over time and be part of a fixed fee and or minimum guaranteed fee as well as fees earned and allocated to software maintenance. </w:t>
      </w:r>
    </w:p>
    <w:p>
      <w:pPr>
        <w:pStyle w:val="TextBody"/>
        <w:bidi w:val="0"/>
        <w:jc w:val="both"/>
        <w:rPr/>
      </w:pPr>
      <w:r>
        <w:rP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Contract Balances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the timing of our delivery of goods or services is different from the timing of payments made by customers, we recognize either a contract asset (performance precedes customer billing) or a contract liability (customer payment precedes performance). Customers that prepay are represented by the deferred revenue below until the performance obligation is satisfied.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contract assets consist of unbilled receivables. Our contract liabilities consist of deferred (unearned) revenue, which is generally related to software maintenance contracts. We classify deferred revenue as current or noncurrent based on the timing of when we expect to recognize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present changes in our contract assets and liabilities during the three and six months ended June 30, 2026 and 2025 (in thousands):</w:t>
      </w:r>
    </w:p>
    <w:p>
      <w:pPr>
        <w:pStyle w:val="TextBody"/>
        <w:bidi w:val="0"/>
        <w:spacing w:before="200" w:after="283"/>
        <w:jc w:val="both"/>
        <w:rPr/>
      </w:pPr>
      <w:r>
        <w:rPr/>
        <w:t> </w:t>
      </w:r>
    </w:p>
    <w:tbl>
      <w:tblPr>
        <w:tblW w:w="8875" w:type="dxa"/>
        <w:jc w:val="left"/>
        <w:tblInd w:w="0" w:type="dxa"/>
        <w:tblLayout w:type="fixed"/>
        <w:tblCellMar>
          <w:top w:w="28" w:type="dxa"/>
          <w:left w:w="28" w:type="dxa"/>
          <w:bottom w:w="28" w:type="dxa"/>
          <w:right w:w="28" w:type="dxa"/>
        </w:tblCellMar>
      </w:tblPr>
      <w:tblGrid>
        <w:gridCol w:w="3046"/>
        <w:gridCol w:w="146"/>
        <w:gridCol w:w="271"/>
        <w:gridCol w:w="734"/>
        <w:gridCol w:w="146"/>
        <w:gridCol w:w="146"/>
        <w:gridCol w:w="351"/>
        <w:gridCol w:w="954"/>
        <w:gridCol w:w="146"/>
        <w:gridCol w:w="146"/>
        <w:gridCol w:w="270"/>
        <w:gridCol w:w="811"/>
        <w:gridCol w:w="166"/>
        <w:gridCol w:w="146"/>
        <w:gridCol w:w="270"/>
        <w:gridCol w:w="735"/>
        <w:gridCol w:w="3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w:t>
              <w:br/>
              <w:t>Beginning</w:t>
              <w:br/>
              <w:t>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w:t>
              <w:br/>
              <w:t>Recognized In</w:t>
              <w:br/>
              <w:t>Advance of</w:t>
              <w:br/>
              <w:t>Billings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Billings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w:t>
              <w:br/>
              <w:t>End of</w:t>
              <w:br/>
              <w:t>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w:t>
              <w:br/>
              <w:t>Beginning</w:t>
              <w:br/>
              <w:t>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Billings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w:t>
              <w:br/>
              <w:t>Recognized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w:t>
              <w:br/>
              <w:t>End of</w:t>
              <w:br/>
              <w:t>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03"/>
        <w:gridCol w:w="146"/>
        <w:gridCol w:w="526"/>
        <w:gridCol w:w="1427"/>
        <w:gridCol w:w="146"/>
        <w:gridCol w:w="146"/>
        <w:gridCol w:w="438"/>
        <w:gridCol w:w="1189"/>
        <w:gridCol w:w="146"/>
        <w:gridCol w:w="146"/>
        <w:gridCol w:w="375"/>
        <w:gridCol w:w="1127"/>
        <w:gridCol w:w="166"/>
        <w:gridCol w:w="146"/>
        <w:gridCol w:w="425"/>
        <w:gridCol w:w="1157"/>
        <w:gridCol w:w="396"/>
      </w:tblGrid>
      <w:tr>
        <w:trPr/>
        <w:tc>
          <w:tcPr>
            <w:tcW w:w="2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1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 Beginning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 Recognized In</w:t>
              <w:br/>
              <w:t>Advance of Billings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Billings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 End of Period</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 Beginning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Billings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 Recognized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 End of Period</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Remaining Performance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Remaining performance obligations represent the transaction prices from contracts for which work has not been performed or for which goods and services have not been delivered. We expect to recognize revenue on approximately 95% of the remaining deferred revenue over the next 12 months, with the remainder recognized thereafter. As of June 30, 2026, the aggregate amount of the transaction prices allocated to remaining performance obligations for contracts with a duration greater than one year was $0.2 million.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 –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FASB Codification defines fair value and establishes a fair value hierarchy that prioritizes the inputs to valuation techniques used to measure fair value. The three levels of the fair value hierarchy under the FASB Codification are: Level 1 – valuations that are based on quoted prices (unadjusted) in active markets for identical assets or liabilities that the reporting entity has the ability to access at the measurement date; Level 2 – valuations that are based on quoted prices in markets that are not active or for which all significant inputs are observable, either directly or indirectly; and Level 3 – valuations that require inputs that are both significant to the fair value measurement and unobservable.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Cash and cash equivalents, which primarily include money market mutual funds were $2.9 million and $7.3 million as of June 30, 2026 and December 31, 2025, respectively. Marketable securities, which consists of U.S. Treasuries, were $14.0 million and $15.0 million as of June 30, 2026 and December 31,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2025, respectively. Our assets and liabilities that are measured at fair value on a recurring basis included the following (in thousands):</w:t>
      </w:r>
    </w:p>
    <w:p>
      <w:pPr>
        <w:pStyle w:val="TextBody"/>
        <w:bidi w:val="0"/>
        <w:jc w:val="both"/>
        <w:rPr/>
      </w:pPr>
      <w:r>
        <w:rPr/>
        <w:t> </w:t>
      </w:r>
    </w:p>
    <w:tbl>
      <w:tblPr>
        <w:tblW w:w="9020" w:type="dxa"/>
        <w:jc w:val="left"/>
        <w:tblInd w:w="0" w:type="dxa"/>
        <w:tblLayout w:type="fixed"/>
        <w:tblCellMar>
          <w:top w:w="28" w:type="dxa"/>
          <w:left w:w="28" w:type="dxa"/>
          <w:bottom w:w="28" w:type="dxa"/>
          <w:right w:w="28" w:type="dxa"/>
        </w:tblCellMar>
      </w:tblPr>
      <w:tblGrid>
        <w:gridCol w:w="3036"/>
        <w:gridCol w:w="146"/>
        <w:gridCol w:w="264"/>
        <w:gridCol w:w="846"/>
        <w:gridCol w:w="164"/>
        <w:gridCol w:w="164"/>
        <w:gridCol w:w="409"/>
        <w:gridCol w:w="672"/>
        <w:gridCol w:w="164"/>
        <w:gridCol w:w="164"/>
        <w:gridCol w:w="483"/>
        <w:gridCol w:w="793"/>
        <w:gridCol w:w="164"/>
        <w:gridCol w:w="164"/>
        <w:gridCol w:w="237"/>
        <w:gridCol w:w="759"/>
        <w:gridCol w:w="391"/>
      </w:tblGrid>
      <w:tr>
        <w:trPr/>
        <w:tc>
          <w:tcPr>
            <w:tcW w:w="3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at June 30, 2026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Quoted</w:t>
              <w:br/>
              <w:t>Prices in</w:t>
              <w:br/>
              <w:t>Active</w:t>
              <w:br/>
              <w:t>Markets for</w:t>
              <w:br/>
              <w:t>Identical</w:t>
              <w:br/>
              <w:t>Assets</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Other</w:t>
              <w:br/>
              <w:t>Observable</w:t>
              <w:br/>
              <w:t>Inputs</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Unobservable</w:t>
              <w:br/>
              <w:t>Inputs</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 (included in</w:t>
              <w:br/>
              <w:t>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13,979</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16,193</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pPr>
      <w:r>
        <w:rPr/>
        <w:t> </w:t>
      </w:r>
    </w:p>
    <w:tbl>
      <w:tblPr>
        <w:tblW w:w="8523" w:type="dxa"/>
        <w:jc w:val="left"/>
        <w:tblInd w:w="0" w:type="dxa"/>
        <w:tblLayout w:type="fixed"/>
        <w:tblCellMar>
          <w:top w:w="28" w:type="dxa"/>
          <w:left w:w="28" w:type="dxa"/>
          <w:bottom w:w="28" w:type="dxa"/>
          <w:right w:w="28" w:type="dxa"/>
        </w:tblCellMar>
      </w:tblPr>
      <w:tblGrid>
        <w:gridCol w:w="2956"/>
        <w:gridCol w:w="146"/>
        <w:gridCol w:w="264"/>
        <w:gridCol w:w="846"/>
        <w:gridCol w:w="146"/>
        <w:gridCol w:w="146"/>
        <w:gridCol w:w="409"/>
        <w:gridCol w:w="672"/>
        <w:gridCol w:w="146"/>
        <w:gridCol w:w="146"/>
        <w:gridCol w:w="483"/>
        <w:gridCol w:w="793"/>
        <w:gridCol w:w="146"/>
        <w:gridCol w:w="146"/>
        <w:gridCol w:w="211"/>
        <w:gridCol w:w="67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at December 31,</w:t>
              <w:br/>
              <w:t>2025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Quoted</w:t>
              <w:br/>
              <w:t>Prices in</w:t>
              <w:br/>
              <w:t>Active</w:t>
              <w:br/>
              <w:t>Markets for</w:t>
              <w:br/>
              <w:t>Identical</w:t>
              <w:b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Other</w:t>
              <w:br/>
              <w:t>Observable</w:t>
              <w:b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Unobservable</w:t>
              <w:b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 (included in</w:t>
              <w:br/>
              <w:t>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investments in marketable securities are classified as available-for-sale and are carried at fair value, with the unrealized gains and losses, net of tax, reported as a component of accumulated other comprehensive income (loss) in stockholders' equity.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Marketable securities by security type consisted of the following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39"/>
        <w:gridCol w:w="146"/>
        <w:gridCol w:w="330"/>
        <w:gridCol w:w="1063"/>
        <w:gridCol w:w="146"/>
        <w:gridCol w:w="146"/>
        <w:gridCol w:w="677"/>
        <w:gridCol w:w="1358"/>
        <w:gridCol w:w="146"/>
        <w:gridCol w:w="146"/>
        <w:gridCol w:w="751"/>
        <w:gridCol w:w="1340"/>
        <w:gridCol w:w="166"/>
        <w:gridCol w:w="146"/>
        <w:gridCol w:w="239"/>
        <w:gridCol w:w="770"/>
        <w:gridCol w:w="196"/>
      </w:tblGrid>
      <w:tr>
        <w:trPr/>
        <w:tc>
          <w:tcPr>
            <w:tcW w:w="2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4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notes and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46"/>
        <w:gridCol w:w="146"/>
        <w:gridCol w:w="331"/>
        <w:gridCol w:w="1065"/>
        <w:gridCol w:w="146"/>
        <w:gridCol w:w="146"/>
        <w:gridCol w:w="679"/>
        <w:gridCol w:w="1361"/>
        <w:gridCol w:w="146"/>
        <w:gridCol w:w="146"/>
        <w:gridCol w:w="793"/>
        <w:gridCol w:w="1303"/>
        <w:gridCol w:w="146"/>
        <w:gridCol w:w="146"/>
        <w:gridCol w:w="239"/>
        <w:gridCol w:w="771"/>
        <w:gridCol w:w="195"/>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notes and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15,026</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15,026</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4 – Goodwill and Intangible Assets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Intangible assets and their estimated useful lives as of June 30, 2026 are as follows (dollars in thousands):</w:t>
      </w:r>
    </w:p>
    <w:p>
      <w:pPr>
        <w:pStyle w:val="TextBody"/>
        <w:bidi w:val="0"/>
        <w:jc w:val="both"/>
        <w:rPr/>
      </w:pPr>
      <w:r>
        <w:rPr/>
        <w:t> </w:t>
      </w:r>
    </w:p>
    <w:tbl>
      <w:tblPr>
        <w:tblW w:w="7377" w:type="dxa"/>
        <w:jc w:val="left"/>
        <w:tblInd w:w="0" w:type="dxa"/>
        <w:tblLayout w:type="fixed"/>
        <w:tblCellMar>
          <w:top w:w="28" w:type="dxa"/>
          <w:left w:w="28" w:type="dxa"/>
          <w:bottom w:w="28" w:type="dxa"/>
          <w:right w:w="28" w:type="dxa"/>
        </w:tblCellMar>
      </w:tblPr>
      <w:tblGrid>
        <w:gridCol w:w="2101"/>
        <w:gridCol w:w="146"/>
        <w:gridCol w:w="1276"/>
        <w:gridCol w:w="146"/>
        <w:gridCol w:w="211"/>
        <w:gridCol w:w="571"/>
        <w:gridCol w:w="146"/>
        <w:gridCol w:w="146"/>
        <w:gridCol w:w="312"/>
        <w:gridCol w:w="934"/>
        <w:gridCol w:w="166"/>
        <w:gridCol w:w="146"/>
        <w:gridCol w:w="239"/>
        <w:gridCol w:w="646"/>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 and 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and 7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 / 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and 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each of the three and six months ended June 30, 2026 and 2025, we recorded $0.1 million and $0.2 million of intangible assets amortization expense, respectively. We expect to record amortization expense for the remainder of 2026 and each subsequent year and thereafter as follows (in thousands):</w:t>
      </w:r>
    </w:p>
    <w:p>
      <w:pPr>
        <w:pStyle w:val="TextBody"/>
        <w:bidi w:val="0"/>
        <w:jc w:val="both"/>
        <w:rPr/>
      </w:pPr>
      <w:r>
        <w:rPr/>
        <w:t> </w:t>
      </w:r>
    </w:p>
    <w:tbl>
      <w:tblPr>
        <w:tblW w:w="2065" w:type="dxa"/>
        <w:jc w:val="left"/>
        <w:tblInd w:w="0" w:type="dxa"/>
        <w:tblLayout w:type="fixed"/>
        <w:tblCellMar>
          <w:top w:w="28" w:type="dxa"/>
          <w:left w:w="28" w:type="dxa"/>
          <w:bottom w:w="28" w:type="dxa"/>
          <w:right w:w="28" w:type="dxa"/>
        </w:tblCellMar>
      </w:tblPr>
      <w:tblGrid>
        <w:gridCol w:w="946"/>
        <w:gridCol w:w="146"/>
        <w:gridCol w:w="211"/>
        <w:gridCol w:w="57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we had $3.1 million of goodwill. During the three months ended March 31, 2026, we identified a triggering event due to a decline in market capitalization and continued operating losses and, as a result, performed an interim quantitative goodwill impairment test. Based on this analysis, we determined that the fair value of the reporting unit exceeded its carrying value and no impairment of goodwill was recorded as of March 31, 2026. During the three and six months ended June 30, 2026, we did not identify any additional triggering events or indicators of impairment, and therefore no additional interim goodwill impairment test was performed. No impairment of goodwill was recorded during the three and six months ended June 30,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 Restructuring Charges</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March 2026, we implemented a cost saving plan to better align our cost structure with current business needs. As a result, we recognized approximately $0.7 million of one-time severance during the three months ended March 31, 2026, consisting primarily of employee severance and related benefits.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did not record any separation costs during the three months ended June 30, 2026. As of June 30, 2026, approximately $0.3 million of separation costs remained unpaid, which are expected to be paid within the next nine months.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 – Computation of Earnings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earnings per share is computed by dividing net income or loss by the weighted average number of common 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 All outstanding common stock equivalents were not included in the per share calculation for diluted earnings per share where we had a net loss, and the effect of their inclusion would be anti-dilutive.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7 – Equity and 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stock-based compensation expenses included in our unaudited consolidated statements of operations and comprehensive loss (in thousands):</w:t>
      </w:r>
    </w:p>
    <w:p>
      <w:pPr>
        <w:pStyle w:val="TextBody"/>
        <w:bidi w:val="0"/>
        <w:jc w:val="both"/>
        <w:rPr/>
      </w:pPr>
      <w:r>
        <w:rPr/>
        <w:t> </w:t>
      </w:r>
    </w:p>
    <w:tbl>
      <w:tblPr>
        <w:tblW w:w="7136" w:type="dxa"/>
        <w:jc w:val="left"/>
        <w:tblInd w:w="0" w:type="dxa"/>
        <w:tblLayout w:type="fixed"/>
        <w:tblCellMar>
          <w:top w:w="28" w:type="dxa"/>
          <w:left w:w="28" w:type="dxa"/>
          <w:bottom w:w="28" w:type="dxa"/>
          <w:right w:w="28" w:type="dxa"/>
        </w:tblCellMar>
      </w:tblPr>
      <w:tblGrid>
        <w:gridCol w:w="3001"/>
        <w:gridCol w:w="146"/>
        <w:gridCol w:w="254"/>
        <w:gridCol w:w="507"/>
        <w:gridCol w:w="176"/>
        <w:gridCol w:w="176"/>
        <w:gridCol w:w="254"/>
        <w:gridCol w:w="507"/>
        <w:gridCol w:w="146"/>
        <w:gridCol w:w="146"/>
        <w:gridCol w:w="221"/>
        <w:gridCol w:w="442"/>
        <w:gridCol w:w="153"/>
        <w:gridCol w:w="153"/>
        <w:gridCol w:w="221"/>
        <w:gridCol w:w="442"/>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Stock Options - </w:t>
      </w:r>
      <w:r>
        <w:rPr>
          <w:rFonts w:ascii="Times New Roman" w:hAnsi="Times New Roman"/>
          <w:color w:val="000000"/>
          <w:sz w:val="20"/>
        </w:rPr>
        <w:t xml:space="preserve">On January 17, 2024, our stockholders approved the Aware Inc. 2023 Equity and Incentive Plan (the “2023 Plan”). Following approval of the 2023 Plan, we ceased making awards under our previous 2001 Nonqualified Stock Plan (as amended, the “2001 Plan”). </w:t>
      </w:r>
    </w:p>
    <w:p>
      <w:pPr>
        <w:pStyle w:val="TextBody"/>
        <w:bidi w:val="0"/>
        <w:jc w:val="both"/>
        <w:rPr>
          <w:rFonts w:ascii="Times New Roman" w:hAnsi="Times New Roman"/>
          <w:color w:val="000000"/>
          <w:sz w:val="20"/>
        </w:rPr>
      </w:pPr>
      <w:r>
        <w:rPr>
          <w:rFonts w:ascii="Times New Roman" w:hAnsi="Times New Roman"/>
          <w:color w:val="000000"/>
          <w:sz w:val="20"/>
        </w:rPr>
        <w:t>During the three and six months ended June 30, 2026, the Company granted stock options to purchase an aggregate of 0 and 10,000 shares of common stock under the 2023 Equity and Incentive Plan, respectively. The stock options granted in the six months ended June 30, 2026 were granted as incentive stock options.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and six months ended June 30, 2025, the Company granted stock options to purchase an aggregate of 0 and 1,165,197 shares of common stock, respectively, under the 2023 Equity and Incentive Plan. Of the total stock options granted in the three and six months ended June 30, 2025, 327,840 options were granted as incentive stock options and 837,357 as non-qualified stock options.</w:t>
      </w:r>
    </w:p>
    <w:p>
      <w:pPr>
        <w:pStyle w:val="TextBody"/>
        <w:bidi w:val="0"/>
        <w:jc w:val="both"/>
        <w:rPr>
          <w:rFonts w:ascii="Times New Roman" w:hAnsi="Times New Roman"/>
          <w:color w:val="000000"/>
          <w:sz w:val="20"/>
        </w:rPr>
      </w:pPr>
      <w:r>
        <w:rPr>
          <w:rFonts w:ascii="Times New Roman" w:hAnsi="Times New Roman"/>
          <w:color w:val="000000"/>
          <w:sz w:val="20"/>
        </w:rPr>
        <w:t xml:space="preserve">No stock options were exercised in either period.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stock options granted during the three months ended March 31, 2025 included 105,000 incentive stock options to a hired executive officer and 1,060,197 options, comprising both incentive and non-qualified options granted to Ajay Amlani, in connection with his appointment as the Company’s Chief Executive Officer. Within the grant to Mr. Amlani, 848,157 options were subject to time-based vesting, with 25 percent vested on the one-year anniversary of the grant date and the remaining 75 percent vesting in 36 equal monthly installments thereafter, subject to Mr. Amlani's continued service. The remaining 212,040 options granted to Mr. Amlani were performance-based and divided equally between two tranches. The first tranche was eligible to vest if certain minimum thresholds for bookings growth for 2025 were achieved, with incremental vesting for higher levels of growth up to a maximum threshold. The second tranche is subject to similar performance conditions based on year-over-year bookings growth in 2026. In both cases, Mr. Amlani must remain in service through December 31 of the applicable performance year for any shares to vest. Expense recognition for the option grant is based on the fair value on the grant date and reflects management’s assessment of the probability of achieving the specified performance conditions. Expense is recognized over the requisite service period and is adjusted for changes in the probability of achievement, as necessary. During 2025, the performance condition for the 2025 tranche was not achieved and the related performance-based options were cancelled. Any compensation expense previously recognized for that tranche was reversed during 2025. Compensation expense related to the 2026 tranche, will be recognized over the applicable service period in 2026 if performance conditions are met.</w:t>
      </w:r>
    </w:p>
    <w:p>
      <w:pPr>
        <w:pStyle w:val="TextBody"/>
        <w:bidi w:val="0"/>
        <w:spacing w:before="200" w:after="283"/>
        <w:jc w:val="both"/>
        <w:rPr>
          <w:rFonts w:ascii="Times New Roman" w:hAnsi="Times New Roman"/>
          <w:sz w:val="20"/>
        </w:rPr>
      </w:pPr>
      <w:r>
        <w:rPr>
          <w:rFonts w:ascii="Times New Roman" w:hAnsi="Times New Roman"/>
          <w:i/>
          <w:color w:val="000000"/>
          <w:sz w:val="20"/>
        </w:rPr>
        <w:t>Restricted Stock Units -</w:t>
      </w:r>
      <w:r>
        <w:rPr>
          <w:rFonts w:ascii="Times New Roman" w:hAnsi="Times New Roman"/>
          <w:color w:val="000000"/>
          <w:sz w:val="20"/>
        </w:rPr>
        <w:t xml:space="preserve"> The 2023 Plan permits us to grant restricted stock units to our directors, officers, and employees. Upon vesting, each restricted stock unit entitles the recipient to receive a number of shares of common stock as set forth in the relevant restricted stock unit agreement. Stock-based compensation expense for restricted stock units is determined based on the fair market value of our stock on the date of grant, provided the number of shares in the grant is fixed on the grant date.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granted 0 and 217,354 restricted stock units to directors, officers, and employees during the three and six months ended June 30, 2026. Of the 217,354 restricted stock units granted during the six months ended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June 30, 2026, 108,677 vested shortly after June 30, 2026 and the remaining are scheduled to vest shortly after December 31, 2026. No restricted stock units were forfeited during the three or six months ended June 30,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and six months ended June 30, 2025 we granted 359,317 and 771,184 restricted stock units, respectively, to directors, officers, and employees. Of these, 250,355 restricted stock units are vested in two installments of 122,818 and 127,537 shares shortly after June 30, 2025 and December 31, 2025, respectively. In addition, 166,229 restricted stock units were granted on March 13, 2025 to Mr. Amlani in connection with an amendment to his employment agreement. The amendment provided that 80% of Mr. Amlani's CEO’s base salary for the period from March 16, 2025 through December 31, 2025 will be paid in restricted stock units. The award represented the right to receive 166,229 shares and vested in nine equal monthly installments beginning on April 16, 2025 and continuing on the 16th of each month through December 16, 2025. All awards were subject to Mr. Amlani's continued service through the applicable vesting dates.</w:t>
      </w:r>
    </w:p>
    <w:p>
      <w:pPr>
        <w:pStyle w:val="TextBody"/>
        <w:bidi w:val="0"/>
        <w:jc w:val="both"/>
        <w:rPr>
          <w:rFonts w:ascii="Times New Roman" w:hAnsi="Times New Roman"/>
          <w:color w:val="000000"/>
          <w:sz w:val="20"/>
        </w:rPr>
      </w:pPr>
      <w:r>
        <w:rPr>
          <w:rFonts w:ascii="Times New Roman" w:hAnsi="Times New Roman"/>
          <w:color w:val="000000"/>
          <w:sz w:val="20"/>
        </w:rPr>
        <w:t>In addition, 354,600 restricted stock units were granted on June 13, 2025 to Mr. Amlani in connection with a further amendment to his employment agreement. The amendment provides that 75% of Mr. Amlani's CEO’s base salary for the period from January 1, 2026 through December 31, 2027 will be paid in restricted stock units. The award represents the right to receive 354,600 shares and will vest in twenty four equal monthly installments beginning on January 16, 2026 and continuing on the 16th of each month through December 16, 2027. All awards are subject to Mr. Amlani's continued service through the applicable vesting dates. No restricted stock units were forfeited during the three or six months ended June 30, 2025.</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Share Purchases - </w:t>
      </w:r>
      <w:r>
        <w:rPr>
          <w:rFonts w:ascii="Times New Roman" w:hAnsi="Times New Roman"/>
          <w:color w:val="000000"/>
          <w:sz w:val="20"/>
        </w:rPr>
        <w:t xml:space="preserve">On March 1, 2022, our Board of Directors authorized a new stock repurchase program pursuant to which we may purchase up to $10.0 million of our common stock. On November 30, 2023, our Board of Directors extended the program through December 31, 2025. As of June 30, 2025 we had repurchased $2.1 million of our common stock pursuant to this program. During the three and six months ended June 30, 2025 we purchased 41,020 and 75,457 shares of common stock, respectively. The program did not obligate us to acquire any particular amount of common stock. As of December 31, 2025 the plan expired. We did not repurchase any shares of our common stock during the three and six months ended June 30, 2026.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8 –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June 30, 2026 and 2025, we recorded an income tax provision of approximately $1 thousand and $26 thousand, respectively. During the six months ended June 30, 2026 and 2025, we recorded an income tax provision of approximately $9 thousand and $34 thousand,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evaluated the positive and negative evidence bearing upon our ability to realize our deferred tax assets, which primarily consist of net operating loss carryforwards and research and development tax credits. We considered the history of cumulative net losses, estimated future taxable income and prudent and feasible tax planning strategies and we have concluded that it is more likely than not that we will not realize the benefits of our deferred tax assets. As a result, as of June 30, 2026 and December 31, 2025, we have a full valuation allowance recorded against our net deferred tax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item_2_managements_discussion_analysis_"/>
      <w:bookmarkEnd w:id="9"/>
      <w:r>
        <w:rPr>
          <w:rFonts w:ascii="Times New Roman" w:hAnsi="Times New Roman"/>
          <w:b/>
          <w:color w:val="000000"/>
          <w:sz w:val="20"/>
        </w:rPr>
        <w:t>ITEM 2: Management’s Discussion and Analysis of Financial Condition and Results of Operations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Cautionary Statement for Purposes of the “Safe Harbor” Provisions of the Private Securities Litigation Reform Act of 1995</w:t>
      </w:r>
    </w:p>
    <w:p>
      <w:pPr>
        <w:pStyle w:val="TextBody"/>
        <w:bidi w:val="0"/>
        <w:spacing w:before="200" w:after="283"/>
        <w:jc w:val="both"/>
        <w:rPr>
          <w:rFonts w:ascii="Times New Roman" w:hAnsi="Times New Roman"/>
          <w:sz w:val="20"/>
        </w:rPr>
      </w:pPr>
      <w:r>
        <w:rPr>
          <w:rFonts w:ascii="Times New Roman" w:hAnsi="Times New Roman"/>
          <w:i/>
          <w:color w:val="000000"/>
          <w:sz w:val="20"/>
        </w:rPr>
        <w:t>Some of the information in this Quarterly Report on Form 10-Q contains forward</w:t>
        <w:noBreakHyphen/>
        <w:t>looking statements that involve substantial risks and uncertainties. You can identify these statements by forward</w:t>
        <w:noBreakHyphen/>
        <w:t>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w:t>
        <w:noBreakHyphen/>
        <w:t>looking” information. However, we may not be able to predict future events accurately. The risk factors listed in this Quarterly Report on Form 10-Q and our Annual Report on Form 10-K for the year ended December 31, 2025, as well as any cautionary language in this Quarterly Report on Form 10-Q, provide examples of risks, uncertainties and events that may cause our actual results to differ materially from the expectations we describe in our forward</w:t>
        <w:noBreakHyphen/>
        <w:t>looking statements. You should be aware that the occurrence of any of the events described in these risk factors and elsewhere in this Quarterly Report on Form 10-Q could materially and adversely affect our business.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color w:val="000000"/>
          <w:sz w:val="20"/>
        </w:rPr>
        <w:t>Summary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primarily engaged in the development and sale of biometrics products, solutions and services. Our software products are used in government and commercial systems and applications and fulfill a broad range of functions critical to secure biometric enrollment, authentication, identification and transactions. Principal government applications of biometrics systems include border control, visa applicant screening, law enforcement, national defense, intelligence, secure credentialing, access control, and background checks. Principal commercial applications include: i) user enrollment and authentication used for login to mobile devices, computers, networks, and software programs; ii) user authentication for financial transactions and purchases (online and in-person); iii) physical access control to buildings; and iv) identity proofing of prospective employees and customers. We sell our biometrics software products and services globally through a multifaceted distribution strategy using systems integrators, OEMs, VARs, partners, and directly to end user customers. We also derive a portion of our revenue from the sale of imaging software licenses to OEMs and systems integrators that incorporate our software into medical imaging products and medical systems.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Summary of Financial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use revenue and results of operations to summarize financial results as we believe these measurements are the most meaningful way to understand our operating performance. The comparisons below reflect certain reclassifications described in more detail in Note 1 to the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Revenue and operating loss for the three months ended June 30, 2026 were $3.3 million and $2.7 million, respectively. These results compared to revenue of $3.9 million and operating loss of $2.0 million for the three months ended June 30, 2025. The decrease in revenue and increase in operating loss was primarily due to lower software license revenue.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and operating loss for the six months ended June 30, 2026 were $6.6 million and $6.4 million, respectively. These results compared to revenue of $7.5 million and operating loss of $3.8 million for the six months ended June 30, 2025. The decrease in revenue was primarily due to lower software license revenue. The increase in operating loss was primarily due to lower revenue, one-time severance costs in the current period of $0.7 million and a $0.6 million increase in salary-related expenses resulting from additional headcount hired in 2025. These severance costs relate to workforce reduction actions taken during the period as part of our efforts to align our cost structure with current business conditions. We expect to realize incremental cost savings from these actions throughout the remainder of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These and all other financial results are discussed in more detail in the results of operations section that follows.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both"/>
        <w:rPr>
          <w:rFonts w:ascii="Times New Roman" w:hAnsi="Times New Roman"/>
          <w:sz w:val="20"/>
        </w:rPr>
      </w:pPr>
      <w:r>
        <w:rPr>
          <w:rFonts w:ascii="Times New Roman" w:hAnsi="Times New Roman"/>
          <w:b/>
          <w:i/>
          <w:color w:val="000000"/>
          <w:sz w:val="20"/>
        </w:rPr>
        <w:t>Software licenses.</w:t>
      </w:r>
      <w:r>
        <w:rPr>
          <w:rFonts w:ascii="Times New Roman" w:hAnsi="Times New Roman"/>
          <w:color w:val="000000"/>
          <w:sz w:val="20"/>
        </w:rPr>
        <w:t xml:space="preserve"> Software licenses consist of revenue from the sale of biometrics and imaging software products. Sales of software products depend on our ability to win proposals to supply software for biometrics systems projects either directly to end user customers or indirectly through channel partners.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Software license revenue decreased 33% from $1.4 million in the three months ended June 30, 2025 to $1.0 million for the three months ended June 30, 2026. As a percentage of total revenue, software license revenue decreased from 36% in the second quarter of 2025 to 29% in the current year quarter. The $0.4 million decrease in software license revenue was due primarily to a decrease in perpetual licenses sales due to a decrease in one-time license deals in the current quarter.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Software license revenue decreased 27% from $2.7 million in the six months ended June 30, 2025 to $2.0 million for the six months ended June 30, 2026. As a percentage of total revenue, software license revenue decreased from 36% in the first six months of 2025 to 30% in the current period. The $0.7 million decrease in software license revenue was due primarily to a decrease in perpetual licenses sales due to a decrease in one-time license deals in the current year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Software license sales have historically fluctuated, and we expect software license revenue to continue to fluctuate since these sales are based on the timing of projects with our customers and partners.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market strategy is to continue to focus on our legacy government biometrics markets and expand into new commercial biometrics markets. We are unable to predict future revenue from commercial markets as these are emerging markets. </w:t>
      </w:r>
    </w:p>
    <w:p>
      <w:pPr>
        <w:pStyle w:val="TextBody"/>
        <w:bidi w:val="0"/>
        <w:spacing w:before="200" w:after="283"/>
        <w:jc w:val="both"/>
        <w:rPr>
          <w:rFonts w:ascii="Times New Roman" w:hAnsi="Times New Roman"/>
          <w:sz w:val="20"/>
        </w:rPr>
      </w:pPr>
      <w:r>
        <w:rPr>
          <w:rFonts w:ascii="Times New Roman" w:hAnsi="Times New Roman"/>
          <w:b/>
          <w:i/>
          <w:color w:val="000000"/>
          <w:sz w:val="20"/>
        </w:rPr>
        <w:t>Software maintenance</w:t>
      </w:r>
      <w:r>
        <w:rPr>
          <w:rFonts w:ascii="Times New Roman" w:hAnsi="Times New Roman"/>
          <w:color w:val="000000"/>
          <w:sz w:val="20"/>
        </w:rPr>
        <w:t>. Software maintenance consists of revenue from the sale of software maintenance contracts. Software maintenance contracts entitle customers to receive software support and software updates, if and when they become available, during the term of the contract.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Software maintenance decreased 7% from $2.1 million in the three months ended June 30, 2025 to $2.0 million for the three months ended June 30, 2026. As a percentage of total revenue, software maintenance revenue increased from 55% in the second quarter of 2025 to 61% in the current year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Software maintenance decreased 4% from $4.3 million in the six months ended June 30, 2025 to $4.1 million for the six months ended June 30, 2026. As a percentage of total revenue, software maintenance revenue increased from 57% in the six months ended June 30, 2025 to 61% in the current year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slight decrease in software maintenance was primarily due to the non-renewal of maintenance contracts by certain customers.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period amounts have been reclassified to conform to the current period presentation. See Note 1 to the consolidated financial statements for additional information regarding these reclassifications.</w:t>
      </w:r>
    </w:p>
    <w:p>
      <w:pPr>
        <w:pStyle w:val="TextBody"/>
        <w:bidi w:val="0"/>
        <w:spacing w:before="200" w:after="283"/>
        <w:jc w:val="both"/>
        <w:rPr>
          <w:rFonts w:ascii="Times New Roman" w:hAnsi="Times New Roman"/>
          <w:sz w:val="20"/>
        </w:rPr>
      </w:pPr>
      <w:r>
        <w:rPr>
          <w:rFonts w:ascii="Times New Roman" w:hAnsi="Times New Roman"/>
          <w:b/>
          <w:i/>
          <w:color w:val="000000"/>
          <w:sz w:val="20"/>
        </w:rPr>
        <w:t>Services and other revenue</w:t>
      </w:r>
      <w:r>
        <w:rPr>
          <w:rFonts w:ascii="Times New Roman" w:hAnsi="Times New Roman"/>
          <w:i/>
          <w:color w:val="000000"/>
          <w:sz w:val="20"/>
        </w:rPr>
        <w:t xml:space="preserve">. </w:t>
      </w:r>
      <w:r>
        <w:rPr>
          <w:rFonts w:ascii="Times New Roman" w:hAnsi="Times New Roman"/>
          <w:color w:val="000000"/>
          <w:sz w:val="20"/>
        </w:rPr>
        <w:t>Services and other revenue consists of fees we charge to perform software development, integration, installation, customization, and other professional services, as well as subscription-based SaaS offerings and hardware included with certain software licenses. Similar to software license revenue, services revenue depends on our ability to win biometrics systems projects either directly with end user customers or in conjunction with channel partners. SaaS revenue reflects recurring subscription fees for access to our biometric software solutions.</w:t>
      </w:r>
    </w:p>
    <w:p>
      <w:pPr>
        <w:pStyle w:val="TextBody"/>
        <w:bidi w:val="0"/>
        <w:jc w:val="left"/>
        <w:rPr>
          <w:rFonts w:ascii="Times New Roman" w:hAnsi="Times New Roman"/>
          <w:color w:val="000000"/>
          <w:sz w:val="20"/>
        </w:rPr>
      </w:pPr>
      <w:r>
        <w:rPr>
          <w:rFonts w:ascii="Times New Roman" w:hAnsi="Times New Roman"/>
          <w:color w:val="000000"/>
          <w:sz w:val="20"/>
        </w:rPr>
        <w:t>Services and other revenue may fluctuate based on the timing of commencement and completion of customer projects, the mix of professional services and subscription-based arrangements, and the timing of hardware delivered in connection with software licenses.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Services and other revenue was $0.3 million in the three months ended June 30, 2025 and 2026. As a percentage of total revenue, services and other revenue increased from 8% in the three months ended June 30, 2025 to 9% in the current year period.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Services and other revenue increased from $0.5 million in the six months ended June 30, 2025 to $0.6 million in the six months ended June 30, 2026. As a percentage of total revenue, services and other revenue increased from 7% in the six months ended June 30, 2025 to 9% in the current year period. The increase was primarily due to growth in SaaS revenue, which increased from $0.1 million in the six months ended June 30, 2025 to $0.3 million in the current year period and was partially offset by lower services revenue. The increase in SaaS revenue reflects expansion of subscription-based customer arrangements.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period amounts have been reclassified to conform to the current period presentation. See Note 1 to the consolidated financial statements for additional information regarding these reclassifications.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Cost of revenue. </w:t>
      </w:r>
      <w:r>
        <w:rPr>
          <w:rFonts w:ascii="Times New Roman" w:hAnsi="Times New Roman"/>
          <w:color w:val="000000"/>
          <w:sz w:val="20"/>
        </w:rPr>
        <w:t>Cost of revenue consists primarily of engineering costs to perform customer services projects, amortization of intangible assets related to acquisitions, and other third-party costs that are included with some of our software licenses. Such costs primarily include: i) engineering salaries, stock-based compensation, fringe benefits, and facilities; ii) engineering consultants and contractors; iii) software license fees; and iv) hardware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 of revenue increased 95% from $0.3 million in the three months ended June 30, 2025 to $0.5 million in the three months ended June 30, 2026. Cost of revenue as a percentage of total revenue increased from 7% in the second quarter of 2025 to 16% in the current year second quarter. The $0.2 million increase was the result of increased software license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 of revenue increased 97% from $0.4 million in the six months ended June 30, 2025 to $0.9 million in the six months ended June 30, 2026. Cost of revenue as a percentage of total revenue increased from 6% in the six months ended June 30, 2025 to 13% in the current year period. The $0.5 million increase was the result of increased software license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period amounts have been reclassified to conform to the current period presentation. See Note 1 to the consolidated financial statements for additional information regarding these reclassifications.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Gross margins on revenue are a function of: i) the nature of the projects; ii) the level of engineering difficulty and labor hours required to complete project tasks; iii) how much we were able to charge; and iv) product mix. We expect that gross margins on services and other revenue will continue to fluctuate in future periods based on the nature, complexity, and pricing of future projects and product mix.</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Research and development expense. </w:t>
      </w:r>
      <w:r>
        <w:rPr>
          <w:rFonts w:ascii="Times New Roman" w:hAnsi="Times New Roman"/>
          <w:color w:val="000000"/>
          <w:sz w:val="20"/>
        </w:rPr>
        <w:t>Research and development expense consists of costs for: i) engineering personnel, including salaries, stock-based compensation, fringe benefits, and facilities; ii) engineering consultants and contractors, and iii) other engineering expenses such as supplies, equipment depreciation, dues and memberships and travel. Engineering costs incurred to develop our technology and products are classified as research and development expense. As described in the cost of revenue section, engineering costs incurred to provide engineering services for customer projects are classified as cost of revenue, and are not included in research and development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classification of total engineering costs to research and development expense and engineering costs to perform customer services included in cost of revenue was (in thousands):</w:t>
      </w:r>
    </w:p>
    <w:p>
      <w:pPr>
        <w:pStyle w:val="TextBody"/>
        <w:bidi w:val="0"/>
        <w:jc w:val="both"/>
        <w:rPr/>
      </w:pPr>
      <w:r>
        <w:rPr/>
        <w:t> </w:t>
      </w:r>
    </w:p>
    <w:tbl>
      <w:tblPr>
        <w:tblW w:w="8215" w:type="dxa"/>
        <w:jc w:val="left"/>
        <w:tblInd w:w="0" w:type="dxa"/>
        <w:tblLayout w:type="fixed"/>
        <w:tblCellMar>
          <w:top w:w="28" w:type="dxa"/>
          <w:left w:w="28" w:type="dxa"/>
          <w:bottom w:w="28" w:type="dxa"/>
          <w:right w:w="28" w:type="dxa"/>
        </w:tblCellMar>
      </w:tblPr>
      <w:tblGrid>
        <w:gridCol w:w="3856"/>
        <w:gridCol w:w="146"/>
        <w:gridCol w:w="213"/>
        <w:gridCol w:w="577"/>
        <w:gridCol w:w="147"/>
        <w:gridCol w:w="147"/>
        <w:gridCol w:w="213"/>
        <w:gridCol w:w="577"/>
        <w:gridCol w:w="146"/>
        <w:gridCol w:w="146"/>
        <w:gridCol w:w="211"/>
        <w:gridCol w:w="571"/>
        <w:gridCol w:w="146"/>
        <w:gridCol w:w="146"/>
        <w:gridCol w:w="211"/>
        <w:gridCol w:w="571"/>
        <w:gridCol w:w="1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Engineering costs allocated to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engineering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engineering costs increased 28% from $2.1 million in the three months ended June 30, 2025 to $2.6 million in the three months ended June 30, 2026. As a percentage of total revenue, total engineering costs increased from 53% in the three months ended June 30, 2025 to 81% in the same current year quarter. The spending increase for the three months ended June 30, 2026 compared to the same prior year period was primarily due to salary related costs in relation to additional headcount hired in 2025. </w:t>
      </w:r>
    </w:p>
    <w:p>
      <w:pPr>
        <w:pStyle w:val="TextBody"/>
        <w:bidi w:val="0"/>
        <w:jc w:val="both"/>
        <w:rPr>
          <w:rFonts w:ascii="Times New Roman" w:hAnsi="Times New Roman"/>
          <w:color w:val="000000"/>
          <w:sz w:val="20"/>
        </w:rPr>
      </w:pPr>
      <w:r>
        <w:rPr>
          <w:rFonts w:ascii="Times New Roman" w:hAnsi="Times New Roman"/>
          <w:color w:val="000000"/>
          <w:sz w:val="20"/>
        </w:rPr>
        <w:t>Total engineering costs increased 45% from $4.0 million in the six months ended June 30, 2025 to $5.9 million in the six months ended June 30, 2026. As a percentage of total revenue, total engineering costs increased from 54% in the six months ended June 30, 2025 to 89% in the same current year period. The spending increase for the six months ended June 30, 2026 compared to the same prior year period was primarily due to one-time severance costs of $0.6 million including the termination of our chief technology officer and a $1.3 million increase in salary related costs in relation to additional headcount hired in 2025. We anticipate engineering expenses to decrease during the remainder of 2026 as we focus on strategic product development initiatives.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Selling and marketing expense. </w:t>
      </w:r>
      <w:r>
        <w:rPr>
          <w:rFonts w:ascii="Times New Roman" w:hAnsi="Times New Roman"/>
          <w:color w:val="000000"/>
          <w:sz w:val="20"/>
        </w:rPr>
        <w:t>Selling and marketing expense primarily consists of costs for: i) sales and marketing personnel, including salaries, sales commissions, stock-based compensation, fringe benefits, travel, and facilities; and ii) advertising and promotion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Selling and marketing expense decreased 29% from $2.0 million in the three months ended June 30, 2025 to $1.4 million in the same three month period of 2026. As a percentage of total revenue, selling and marketing expense decreased from 50% in the second quarter of 2025 to 42% in the corresponding period in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Selling and marketing expense decreased 11% from $3.6 million in the six months ended June 30, 2025 to $3.2 million in the same six month period of 2026. As a percentage of total revenue, selling and marketing expense was 48% in the six months ended June 30, 2025 and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decrease in selling and marketing expense for the three and six months ended June 30, 2026, compared to the same periods in the prior year, was primarily due to lower personnel-related costs resulting from the cost saving plan implemented in March 2026 to better align the Company's cost structure with current business needs.</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General and administrative expense. </w:t>
      </w:r>
      <w:r>
        <w:rPr>
          <w:rFonts w:ascii="Times New Roman" w:hAnsi="Times New Roman"/>
          <w:color w:val="000000"/>
          <w:sz w:val="20"/>
        </w:rPr>
        <w:t>General and administrative expense consists primarily of costs for: i) officers, directors and administrative personnel, 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General and administrative expense decreased 7% from $1.7 million in the three months ended June 30, 2025 to $1.6 million in the three months ended June 30, 2026. As a percentage of total revenue, general and administrative expense increased from 43% in the three months ended June 30, 2025 to 47% in the corresponding period of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General and administrative expense decreased 5% from $3.4 million in the six months ended June 30, 2025 to $3.2 million in the same six month period of 2026. As a percentage of total revenue, general and administrative expense increased from 45% in six months ended June 30, 2025 to 48% in the corresponding period of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decrease in general and administrative expense for the three and six months ended June 30, 2026, compared to the same periods in the prior year, was primarily due to lower personnel-related costs resulting from the cost saving plan implemented in March 2026 to better align the Company's cost structure with current business needs.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period amounts have been reclassified to conform to the current period presentation. See Note 1 to the consolidated financial statements for additional information regarding these reclassifications.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Fluctuations in general and administrative expenses are expected depending on specific activities in a period. </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Interest Income. </w:t>
      </w:r>
      <w:r>
        <w:rPr>
          <w:rFonts w:ascii="Times New Roman" w:hAnsi="Times New Roman"/>
          <w:color w:val="000000"/>
          <w:sz w:val="20"/>
        </w:rPr>
        <w:t xml:space="preserve">Interest income was $0.2 million in the three months ended June 30, 2026 and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income was $0.4 million and $0.5 million in the six months ended June 30, 2026 and 2025, respectively. The decrease in interest income in the six months ended June 30, 2026 was primarily the result of lower average cash balances during the current year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interest income to decrease slightly over the remainder of 2026 due to a lower projected average cash balance.</w:t>
      </w:r>
    </w:p>
    <w:p>
      <w:pPr>
        <w:pStyle w:val="TextBody"/>
        <w:bidi w:val="0"/>
        <w:spacing w:before="200" w:after="283"/>
        <w:jc w:val="both"/>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 Total income tax expense was $1 thousand and $26 thousand for the three months ended June 30, 2026 and 2025, respectively. The income tax expense relates to state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Total income tax expense was $9 thousand and $34 thousand for the six months ended June 30, 2026 and 2025, respectively. The income tax expense relates to state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income taxes in the United States, and we use estimates in determining our provisions for income taxes. We account for income taxes using the asset and liability method for accounting and reporting income taxes. Deferred tax assets and liabilities are recognized based on temporary differences between the financial reporting and income tax bases of assets and liabilities using statutory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evaluated the positive and negative evidence bearing upon our ability to realize our deferred tax assets, which primarily consist of net operating loss carryforwards and research and development tax credits. We considered the history of cumulative net losses, estimated future taxable income and prudent and feasible tax planning strategies and we have concluded that it is more likely than not that we will not realize the benefits of our deferred tax assets. As a result, as of June 30, 2026 and December 31, 2025, we recorded a full valuation allowance against our net deferred tax assets.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June 30, 2026, we had cash, cash equivalents and marketable securities of $16.8 million, which represented a decrease of $5.5 million from December 31, 2025. The decrease in cash, cash equivalents and marketable securities was primarily due to the impact of $5.4 million of cash used in 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provided by investing activities was $1.0 million in the first six months of 2026, which primarily consisted of net sales of marketable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provided by financing activities was $47 thousand in the first six months of 2026, which primarily consisted of proceeds from issuances of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we cannot assure you that we will not require additional financing, or that such financing will be available to us, we believe that our cash and cash equivalents will be sufficient to fund our operations for at least the next twelve months from the date of this filing and to meet our known long-term cash requirements. Whether these resources are adequate to meet our liquidity needs beyond that period will depend on our future growth, operating results, and the investments needed to support our operations. If we require additional capital resources, we may utilize available funds or seek external financing, which may not be available on terms we find attractive or at all.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date, inflation has not had a material impact on our financial results. There can be no assurance, however, that inflation will not adversely affect our financial results in the future.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1 to our Consolidated Financial Statements in Item 1.</w:t>
      </w:r>
    </w:p>
    <w:p>
      <w:pPr>
        <w:pStyle w:val="TextBody"/>
        <w:bidi w:val="0"/>
        <w:spacing w:before="200" w:after="283"/>
        <w:jc w:val="both"/>
        <w:rPr/>
      </w:pPr>
      <w:r>
        <w:rPr/>
        <w:t> </w:t>
      </w:r>
    </w:p>
    <w:p>
      <w:pPr>
        <w:pStyle w:val="TextBody"/>
        <w:bidi w:val="0"/>
        <w:spacing w:before="200" w:after="283"/>
        <w:jc w:val="both"/>
        <w:rPr>
          <w:rFonts w:ascii="Times New Roman" w:hAnsi="Times New Roman"/>
          <w:b/>
          <w:color w:val="000000"/>
          <w:sz w:val="20"/>
        </w:rPr>
      </w:pPr>
      <w:bookmarkStart w:id="10" w:name="item_controls_and_procedures"/>
      <w:bookmarkEnd w:id="10"/>
      <w:r>
        <w:rPr>
          <w:rFonts w:ascii="Times New Roman" w:hAnsi="Times New Roman"/>
          <w:b/>
          <w:color w:val="000000"/>
          <w:sz w:val="20"/>
        </w:rPr>
        <w:t>ITEM 4: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were effective as of June 30,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that occurred during the three months ended June 30, 2026 that have materially affected, or are reasonably likely to materially affect, our internal control over financial reporting.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part_ii_or_information"/>
      <w:bookmarkEnd w:id="11"/>
      <w:r>
        <w:rPr>
          <w:rFonts w:ascii="Times New Roman" w:hAnsi="Times New Roman"/>
          <w:b/>
          <w:color w:val="000000"/>
          <w:sz w:val="20"/>
        </w:rPr>
        <w:t>PART II. OTHER INFORMATION</w:t>
      </w:r>
    </w:p>
    <w:p>
      <w:pPr>
        <w:pStyle w:val="TextBody"/>
        <w:bidi w:val="0"/>
        <w:spacing w:before="200" w:after="283"/>
        <w:jc w:val="left"/>
        <w:rPr>
          <w:rFonts w:ascii="Times New Roman" w:hAnsi="Times New Roman"/>
          <w:sz w:val="20"/>
        </w:rPr>
      </w:pPr>
      <w:bookmarkStart w:id="12" w:name="item_1_legal_proceedings"/>
      <w:bookmarkEnd w:id="12"/>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we are involved in litigation incidental to the conduct of our business. We are not party to any lawsuit or proceeding that, in our opinion, is material to our business.</w:t>
      </w:r>
    </w:p>
    <w:p>
      <w:pPr>
        <w:pStyle w:val="TextBody"/>
        <w:bidi w:val="0"/>
        <w:spacing w:before="400" w:after="283"/>
        <w:jc w:val="left"/>
        <w:rPr>
          <w:rFonts w:ascii="Times New Roman" w:hAnsi="Times New Roman"/>
          <w:b/>
          <w:color w:val="000000"/>
          <w:sz w:val="20"/>
        </w:rPr>
      </w:pPr>
      <w:bookmarkStart w:id="13" w:name="item_1a_risk_factors"/>
      <w:bookmarkEnd w:id="13"/>
      <w:r>
        <w:rPr>
          <w:rFonts w:ascii="Times New Roman" w:hAnsi="Times New Roman"/>
          <w:b/>
          <w:color w:val="000000"/>
          <w:sz w:val="20"/>
        </w:rPr>
        <w:t>ITEM 1A: Risk Factors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Investing in our common stock involves a high degree of risk. Our Annual Report on Form 10-K for the year ended December 31, 2025 includes a detailed discussion of our risk factors under the heading “Part I, Item 1A—Risk Factors.” There have been no material changes from such risk factors during the six months ended June 30, 2026. You should consider carefully the risk factors discussed in our Annual Report on Form 10-K for the year ended December 31, 2025, and all other information contained in or incorporated by reference in this Quarterly Report on Form 10-Q before making an investment decision. If any of the risks discussed in the Annual Report on Form 10-K or herein actually occur, they may materially harm our business, financial condition, operating results, cash flows or growth prospects. As a result, the market price of our common stock could decline, and you could lose all or part of your investment. Additional risks and uncertainties that are not yet identified or that we think are immaterial may also materially harm our business, financial condition, operating results, cash flows or growth prospects and could result in a complete loss of your investment. </w:t>
      </w:r>
    </w:p>
    <w:p>
      <w:pPr>
        <w:pStyle w:val="TextBody"/>
        <w:bidi w:val="0"/>
        <w:spacing w:before="400" w:after="283"/>
        <w:jc w:val="left"/>
        <w:rPr>
          <w:rFonts w:ascii="Times New Roman" w:hAnsi="Times New Roman"/>
          <w:b/>
          <w:color w:val="000000"/>
          <w:sz w:val="20"/>
        </w:rPr>
      </w:pPr>
      <w:r>
        <w:rPr>
          <w:rFonts w:ascii="Times New Roman" w:hAnsi="Times New Roman"/>
          <w:b/>
          <w:color w:val="000000"/>
          <w:sz w:val="20"/>
        </w:rPr>
        <w:t>ITEM 5: Other Information</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June 30, 2026, no director or officer of the Company adopted, modified, or terminated a “Rule 10b5-1 trading arrangement” or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exhibits"/>
      <w:bookmarkEnd w:id="14"/>
      <w:r>
        <w:rPr>
          <w:rFonts w:ascii="Times New Roman" w:hAnsi="Times New Roman"/>
          <w:b/>
          <w:color w:val="000000"/>
          <w:sz w:val="20"/>
        </w:rPr>
        <w:t>ITEM 6: Exhibits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5"/>
        <w:gridCol w:w="146"/>
        <w:gridCol w:w="9264"/>
      </w:tblGrid>
      <w:tr>
        <w:trPr/>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4" w:type="dxa"/>
            <w:tcBorders/>
            <w:vAlign w:val="center"/>
          </w:tcPr>
          <w:p>
            <w:pPr>
              <w:pStyle w:val="TableContents"/>
              <w:bidi w:val="0"/>
              <w:spacing w:before="0" w:after="283"/>
              <w:jc w:val="left"/>
              <w:rPr>
                <w:sz w:val="4"/>
                <w:szCs w:val="4"/>
              </w:rPr>
            </w:pPr>
            <w:r>
              <w:rPr>
                <w:sz w:val="4"/>
                <w:szCs w:val="4"/>
              </w:rPr>
            </w:r>
          </w:p>
        </w:tc>
      </w:tr>
      <w:tr>
        <w:trPr/>
        <w:tc>
          <w:tcPr>
            <w:tcW w:w="7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Articles of Organization, as amended (filed as Exhibit 3.1 to the Company’s Form 10-K for the year ended December 31, 2008 and incorporated herein by reference).</w:t>
              </w:r>
            </w:hyperlink>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(filed as Exhibit 3.1 to the Company’s Form 8-K filed with the Securities and Exchange Commission on December 10, 2007 and incorporated herein by reference).</w:t>
              </w:r>
            </w:hyperlink>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hyperlink w:anchor="awre-ex31_1.htm">
              <w:r>
                <w:rPr>
                  <w:rStyle w:val="InternetLink"/>
                  <w:rFonts w:ascii="Times New Roman" w:hAnsi="Times New Roman"/>
                  <w:color w:val="0000FF"/>
                  <w:sz w:val="20"/>
                  <w:u w:val="single"/>
                </w:rPr>
                <w:t>Certification of Chief Executive Officer pursuant to Section 302 of the Sarbanes-Oxley Act of 2002.</w:t>
              </w:r>
            </w:hyperlink>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hyperlink w:anchor="awre-ex31_2.htm">
              <w:r>
                <w:rPr>
                  <w:rStyle w:val="InternetLink"/>
                  <w:rFonts w:ascii="Times New Roman" w:hAnsi="Times New Roman"/>
                  <w:color w:val="0000FF"/>
                  <w:sz w:val="20"/>
                  <w:u w:val="single"/>
                </w:rPr>
                <w:t>Certification of Chief Financial Officer pursuant to Section 302 of the Sarbanes-Oxley Act of 2002.</w:t>
              </w:r>
            </w:hyperlink>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hyperlink w:anchor="awre-ex32_1.htm">
              <w:r>
                <w:rPr>
                  <w:rStyle w:val="InternetLink"/>
                  <w:rFonts w:ascii="Times New Roman" w:hAnsi="Times New Roman"/>
                  <w:color w:val="0000FF"/>
                  <w:sz w:val="20"/>
                  <w:u w:val="single"/>
                </w:rPr>
                <w:t>Certification of Chief Executive Officer and Principal Financial Officer pursuant to Section 906 of the Sarbanes-Oxley Act of 2002.</w:t>
              </w:r>
            </w:hyperlink>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Exhibit 101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financial statements from Aware, Inc.’s Quarterly Report on Form 10-Q for the quarter ended June 30, 2026, formatted in iXBRL (Inline eXtensible Business Reporting Language), as follows: i) Consolidated Balance Sheets as of June 30, 2026 and December 31, 2025, ii) Consolidated Statements of Operations and Comprehensive Loss for the Three and Six Months Ended June 30, 2026 and 2025 iii) Consolidated Statements of Cash Flows for the Six Months Ended June 30, 2026 and 2025 iv) Consolidated Statements of Stockholders’ Equity for the Three and Six Months Ended June 30, 2026 and 2025, and v) Notes to Consolidated Financial Statements.</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for the cover page of this Quarterly Report on Form 10-Q, included in the Exhibit 101 Inline Document Set.</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signatures"/>
      <w:bookmarkEnd w:id="15"/>
      <w:r>
        <w:rPr>
          <w:rFonts w:ascii="Times New Roman" w:hAnsi="Times New Roman"/>
          <w:b/>
          <w:color w:val="000000"/>
          <w:sz w:val="20"/>
        </w:rPr>
        <w:t>SIGNATURES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677" w:type="dxa"/>
        <w:jc w:val="left"/>
        <w:tblInd w:w="0" w:type="dxa"/>
        <w:tblLayout w:type="fixed"/>
        <w:tblCellMar>
          <w:top w:w="28" w:type="dxa"/>
          <w:left w:w="28" w:type="dxa"/>
          <w:bottom w:w="28" w:type="dxa"/>
          <w:right w:w="28" w:type="dxa"/>
        </w:tblCellMar>
      </w:tblPr>
      <w:tblGrid>
        <w:gridCol w:w="556"/>
        <w:gridCol w:w="146"/>
        <w:gridCol w:w="1216"/>
        <w:gridCol w:w="146"/>
        <w:gridCol w:w="406"/>
        <w:gridCol w:w="146"/>
        <w:gridCol w:w="306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AWARE,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Ajay K. Amlani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Ajay K. Amlani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w:t>
            </w:r>
          </w:p>
        </w:tc>
      </w:tr>
    </w:tbl>
    <w:p>
      <w:pPr>
        <w:pStyle w:val="TextBody"/>
        <w:bidi w:val="0"/>
        <w:jc w:val="left"/>
        <w:rPr/>
      </w:pPr>
      <w:r>
        <w:rPr/>
        <w:t> </w:t>
      </w:r>
    </w:p>
    <w:tbl>
      <w:tblPr>
        <w:tblW w:w="4627" w:type="dxa"/>
        <w:jc w:val="left"/>
        <w:tblInd w:w="0" w:type="dxa"/>
        <w:tblLayout w:type="fixed"/>
        <w:tblCellMar>
          <w:top w:w="28" w:type="dxa"/>
          <w:left w:w="28" w:type="dxa"/>
          <w:bottom w:w="28" w:type="dxa"/>
          <w:right w:w="28" w:type="dxa"/>
        </w:tblCellMar>
      </w:tblPr>
      <w:tblGrid>
        <w:gridCol w:w="556"/>
        <w:gridCol w:w="146"/>
        <w:gridCol w:w="1216"/>
        <w:gridCol w:w="146"/>
        <w:gridCol w:w="406"/>
        <w:gridCol w:w="146"/>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K. Traverse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K. Traverse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16" w:name="awre-ex31_1.htm"/>
      <w:bookmarkStart w:id="17" w:name="ksawreex31_1"/>
      <w:bookmarkEnd w:id="16"/>
      <w:bookmarkEnd w:id="17"/>
      <w:r>
        <w:rPr>
          <w:rFonts w:ascii="Times New Roman" w:hAnsi="Times New Roman"/>
          <w:color w:val="000000"/>
          <w:sz w:val="20"/>
        </w:rPr>
        <w:t>Exhibit 31.1</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Ajay K. Amlani, Chief Executive Officer &amp; President of Aware, Inc.,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I have reviewed this quarterly report on Form 10-Q of Aware,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18" w:type="dxa"/>
        <w:jc w:val="left"/>
        <w:tblInd w:w="0" w:type="dxa"/>
        <w:tblLayout w:type="fixed"/>
        <w:tblCellMar>
          <w:top w:w="28" w:type="dxa"/>
          <w:left w:w="28" w:type="dxa"/>
          <w:bottom w:w="28" w:type="dxa"/>
          <w:right w:w="28" w:type="dxa"/>
        </w:tblCellMar>
      </w:tblPr>
      <w:tblGrid>
        <w:gridCol w:w="1711"/>
        <w:gridCol w:w="146"/>
        <w:gridCol w:w="306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Ajay K. Amlani</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Ajay K. Amlani</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18" w:name="awre-ex31_2.htm"/>
      <w:bookmarkStart w:id="19" w:name="ksawreex31_2"/>
      <w:bookmarkEnd w:id="18"/>
      <w:bookmarkEnd w:id="19"/>
      <w:r>
        <w:rPr>
          <w:rFonts w:ascii="Times New Roman" w:hAnsi="Times New Roman"/>
          <w:color w:val="000000"/>
          <w:sz w:val="20"/>
        </w:rPr>
        <w:t>Exhibit 31.2</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David K. Traverse, Chief Financial Officer of Aware, Inc.,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I have reviewed this quarterly report on Form 10-Q of Aware,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868" w:type="dxa"/>
        <w:jc w:val="left"/>
        <w:tblInd w:w="0" w:type="dxa"/>
        <w:tblLayout w:type="fixed"/>
        <w:tblCellMar>
          <w:top w:w="28" w:type="dxa"/>
          <w:left w:w="28" w:type="dxa"/>
          <w:bottom w:w="28" w:type="dxa"/>
          <w:right w:w="28" w:type="dxa"/>
        </w:tblCellMar>
      </w:tblPr>
      <w:tblGrid>
        <w:gridCol w:w="1711"/>
        <w:gridCol w:w="146"/>
        <w:gridCol w:w="201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K. Traverse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K. Traverse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0" w:name="awre-ex32_1.htm"/>
      <w:bookmarkStart w:id="21" w:name="ksawreex32_1"/>
      <w:bookmarkEnd w:id="20"/>
      <w:bookmarkEnd w:id="21"/>
      <w:r>
        <w:rPr>
          <w:rFonts w:ascii="Times New Roman" w:hAnsi="Times New Roman"/>
          <w:color w:val="000000"/>
          <w:sz w:val="20"/>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SECTION 906 OF THE SARBANES-OXLEY ACT OF 2002</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Aware, Inc. (the “Company”) for the quarter ended June 30, 2026,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188" w:type="dxa"/>
        <w:jc w:val="left"/>
        <w:tblInd w:w="0" w:type="dxa"/>
        <w:tblLayout w:type="fixed"/>
        <w:tblCellMar>
          <w:top w:w="28" w:type="dxa"/>
          <w:left w:w="28" w:type="dxa"/>
          <w:bottom w:w="28" w:type="dxa"/>
          <w:right w:w="28" w:type="dxa"/>
        </w:tblCellMar>
      </w:tblPr>
      <w:tblGrid>
        <w:gridCol w:w="3031"/>
        <w:gridCol w:w="146"/>
        <w:gridCol w:w="20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30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Ajay K. Amlani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K. Traverse</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tbl>
      <w:tblPr>
        <w:tblW w:w="3598" w:type="dxa"/>
        <w:jc w:val="left"/>
        <w:tblInd w:w="0" w:type="dxa"/>
        <w:tblLayout w:type="fixed"/>
        <w:tblCellMar>
          <w:top w:w="28" w:type="dxa"/>
          <w:left w:w="28" w:type="dxa"/>
          <w:bottom w:w="28" w:type="dxa"/>
          <w:right w:w="28" w:type="dxa"/>
        </w:tblCellMar>
      </w:tblPr>
      <w:tblGrid>
        <w:gridCol w:w="1711"/>
        <w:gridCol w:w="146"/>
        <w:gridCol w:w="174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31, 2026</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certification set forth above is being furnished as an exhibit solely pursuant to Section 906 of the Sarbanes-Oxley Act of 2002 and is not being filed as part of the Form 10-Q or as a separate disclosure document of the Company or the certifying officers.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015739/000118811209000293/ex3-1.htm" TargetMode="External"/><Relationship Id="rId3" Type="http://schemas.openxmlformats.org/officeDocument/2006/relationships/hyperlink" Target="https://www.sec.gov/Archives/edgar/data/0001015739/000118811207003562/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11411</Words>
  <Characters>61688</Characters>
  <CharactersWithSpaces>74366</CharactersWithSpaces>
  <Paragraphs>3994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