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3</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8" w:lineRule="exact"/>
        <w:rPr>
          <w:sz w:val="24"/>
          <w:szCs w:val="24"/>
          <w:color w:val="auto"/>
        </w:rPr>
      </w:pPr>
    </w:p>
    <w:p>
      <w:pPr>
        <w:ind w:left="520" w:right="5080" w:hanging="511"/>
        <w:spacing w:after="0" w:line="355" w:lineRule="auto"/>
        <w:tabs>
          <w:tab w:leader="none" w:pos="41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343" w:lineRule="exact"/>
        <w:rPr>
          <w:sz w:val="24"/>
          <w:szCs w:val="24"/>
          <w:color w:val="auto"/>
        </w:rPr>
      </w:pPr>
    </w:p>
    <w:p>
      <w:pPr>
        <w:ind w:left="520" w:right="4940" w:hanging="511"/>
        <w:spacing w:after="0" w:line="291" w:lineRule="auto"/>
        <w:tabs>
          <w:tab w:leader="none" w:pos="5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_________ to _________</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000-21129</w:t>
            </w: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8"/>
          </w:tcPr>
          <w:p>
            <w:pPr>
              <w:jc w:val="center"/>
              <w:ind w:right="908"/>
              <w:spacing w:after="0"/>
              <w:rPr>
                <w:sz w:val="20"/>
                <w:szCs w:val="20"/>
                <w:color w:val="auto"/>
              </w:rPr>
            </w:pPr>
            <w:r>
              <w:rPr>
                <w:rFonts w:ascii="Times New Roman" w:cs="Times New Roman" w:eastAsia="Times New Roman" w:hAnsi="Times New Roman"/>
                <w:sz w:val="32"/>
                <w:szCs w:val="32"/>
                <w:b w:val="1"/>
                <w:bCs w:val="1"/>
                <w:color w:val="auto"/>
              </w:rPr>
              <w:t>AWARE, INC.</w:t>
            </w: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20" w:type="dxa"/>
            <w:vAlign w:val="bottom"/>
            <w:gridSpan w:val="3"/>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8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0" w:type="dxa"/>
            <w:vAlign w:val="bottom"/>
          </w:tcPr>
          <w:p>
            <w:pPr>
              <w:spacing w:after="0"/>
              <w:rPr>
                <w:sz w:val="21"/>
                <w:szCs w:val="21"/>
                <w:color w:val="auto"/>
              </w:rPr>
            </w:pPr>
          </w:p>
        </w:tc>
        <w:tc>
          <w:tcPr>
            <w:tcW w:w="3540" w:type="dxa"/>
            <w:vAlign w:val="bottom"/>
          </w:tcPr>
          <w:p>
            <w:pPr>
              <w:spacing w:after="0"/>
              <w:rPr>
                <w:sz w:val="21"/>
                <w:szCs w:val="21"/>
                <w:color w:val="auto"/>
              </w:rPr>
            </w:pPr>
          </w:p>
        </w:tc>
      </w:tr>
      <w:tr>
        <w:trPr>
          <w:trHeight w:val="311"/>
        </w:trPr>
        <w:tc>
          <w:tcPr>
            <w:tcW w:w="3660" w:type="dxa"/>
            <w:vAlign w:val="bottom"/>
            <w:tcBorders>
              <w:bottom w:val="single" w:sz="8" w:color="auto"/>
            </w:tcBorders>
            <w:gridSpan w:val="2"/>
          </w:tcPr>
          <w:p>
            <w:pPr>
              <w:jc w:val="center"/>
              <w:ind w:left="1783"/>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04-2911026</w:t>
            </w:r>
          </w:p>
        </w:tc>
      </w:tr>
      <w:tr>
        <w:trPr>
          <w:trHeight w:val="187"/>
        </w:trPr>
        <w:tc>
          <w:tcPr>
            <w:tcW w:w="3660" w:type="dxa"/>
            <w:vAlign w:val="bottom"/>
            <w:gridSpan w:val="2"/>
          </w:tcPr>
          <w:p>
            <w:pPr>
              <w:jc w:val="center"/>
              <w:ind w:left="1783"/>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gridSpan w:val="3"/>
          </w:tcPr>
          <w:p>
            <w:pPr>
              <w:jc w:val="center"/>
              <w:ind w:right="10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660" w:type="dxa"/>
            <w:vAlign w:val="bottom"/>
            <w:gridSpan w:val="2"/>
          </w:tcPr>
          <w:p>
            <w:pPr>
              <w:jc w:val="center"/>
              <w:ind w:left="178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36"/>
        </w:trPr>
        <w:tc>
          <w:tcPr>
            <w:tcW w:w="3540" w:type="dxa"/>
            <w:vAlign w:val="bottom"/>
          </w:tcPr>
          <w:p>
            <w:pPr>
              <w:spacing w:after="0"/>
              <w:rPr>
                <w:sz w:val="24"/>
                <w:szCs w:val="24"/>
                <w:color w:val="auto"/>
              </w:rPr>
            </w:pPr>
          </w:p>
        </w:tc>
        <w:tc>
          <w:tcPr>
            <w:tcW w:w="7700" w:type="dxa"/>
            <w:vAlign w:val="bottom"/>
            <w:gridSpan w:val="14"/>
          </w:tcPr>
          <w:p>
            <w:pPr>
              <w:jc w:val="center"/>
              <w:ind w:right="3459"/>
              <w:spacing w:after="0"/>
              <w:rPr>
                <w:sz w:val="20"/>
                <w:szCs w:val="20"/>
                <w:color w:val="auto"/>
              </w:rPr>
            </w:pPr>
            <w:r>
              <w:rPr>
                <w:rFonts w:ascii="Times New Roman" w:cs="Times New Roman" w:eastAsia="Times New Roman" w:hAnsi="Times New Roman"/>
                <w:sz w:val="18"/>
                <w:szCs w:val="18"/>
                <w:b w:val="1"/>
                <w:bCs w:val="1"/>
                <w:color w:val="auto"/>
                <w:w w:val="99"/>
              </w:rPr>
              <w:t>76 Blanchard Road, Burlington, Massachusetts, 01803</w:t>
            </w:r>
          </w:p>
        </w:tc>
      </w:tr>
      <w:tr>
        <w:trPr>
          <w:trHeight w:val="146"/>
        </w:trPr>
        <w:tc>
          <w:tcPr>
            <w:tcW w:w="3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10"/>
          </w:tcPr>
          <w:p>
            <w:pPr>
              <w:jc w:val="center"/>
              <w:ind w:right="728"/>
              <w:spacing w:after="0" w:line="147"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60" w:type="dxa"/>
            <w:vAlign w:val="bottom"/>
            <w:tcBorders>
              <w:top w:val="single" w:sz="8" w:color="auto"/>
            </w:tcBorders>
          </w:tcPr>
          <w:p>
            <w:pPr>
              <w:spacing w:after="0"/>
              <w:rPr>
                <w:sz w:val="12"/>
                <w:szCs w:val="12"/>
                <w:color w:val="auto"/>
              </w:rPr>
            </w:pPr>
          </w:p>
        </w:tc>
        <w:tc>
          <w:tcPr>
            <w:tcW w:w="3540" w:type="dxa"/>
            <w:vAlign w:val="bottom"/>
          </w:tcPr>
          <w:p>
            <w:pPr>
              <w:spacing w:after="0"/>
              <w:rPr>
                <w:sz w:val="12"/>
                <w:szCs w:val="12"/>
                <w:color w:val="auto"/>
              </w:rPr>
            </w:pPr>
          </w:p>
        </w:tc>
      </w:tr>
      <w:tr>
        <w:trPr>
          <w:trHeight w:val="188"/>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gridSpan w:val="7"/>
          </w:tcPr>
          <w:p>
            <w:pPr>
              <w:jc w:val="center"/>
              <w:ind w:right="1388"/>
              <w:spacing w:after="0"/>
              <w:rPr>
                <w:sz w:val="20"/>
                <w:szCs w:val="20"/>
                <w:color w:val="auto"/>
              </w:rPr>
            </w:pPr>
            <w:r>
              <w:rPr>
                <w:rFonts w:ascii="Times New Roman" w:cs="Times New Roman" w:eastAsia="Times New Roman" w:hAnsi="Times New Roman"/>
                <w:sz w:val="14"/>
                <w:szCs w:val="14"/>
                <w:color w:val="auto"/>
              </w:rPr>
              <w:t>(Zip Code)</w:t>
            </w:r>
          </w:p>
        </w:tc>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9"/>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4"/>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(781) 687-0300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4100" w:type="dxa"/>
            <w:vAlign w:val="bottom"/>
            <w:gridSpan w:val="12"/>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11"/>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37"/>
        </w:trPr>
        <w:tc>
          <w:tcPr>
            <w:tcW w:w="3660" w:type="dxa"/>
            <w:vAlign w:val="bottom"/>
            <w:gridSpan w:val="2"/>
          </w:tcPr>
          <w:p>
            <w:pPr>
              <w:jc w:val="center"/>
              <w:ind w:left="66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7"/>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gridSpan w:val="2"/>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0"/>
        </w:trPr>
        <w:tc>
          <w:tcPr>
            <w:tcW w:w="3660" w:type="dxa"/>
            <w:vAlign w:val="bottom"/>
            <w:tcBorders>
              <w:top w:val="single" w:sz="8" w:color="auto"/>
            </w:tcBorders>
            <w:gridSpan w:val="2"/>
          </w:tcPr>
          <w:p>
            <w:pPr>
              <w:jc w:val="center"/>
              <w:ind w:left="663"/>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6"/>
                <w:szCs w:val="16"/>
                <w:color w:val="auto"/>
              </w:rPr>
              <w:t>AWRE</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right="759"/>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59"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9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1" w:lineRule="exact"/>
        <w:rPr>
          <w:sz w:val="24"/>
          <w:szCs w:val="24"/>
          <w:color w:val="auto"/>
        </w:rPr>
      </w:pPr>
    </w:p>
    <w:p>
      <w:pPr>
        <w:ind w:right="260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April 27, 2026 was 21,631,302.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8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2026 and March</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4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31, 2025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March 31,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2026 and March 31,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4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89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4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300" w:type="dxa"/>
            <w:vAlign w:val="bottom"/>
            <w:shd w:val="clear" w:color="auto" w:fill="CFF0FC"/>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49"/>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100" w:type="dxa"/>
            <w:vAlign w:val="bottom"/>
            <w:shd w:val="clear" w:color="auto" w:fill="CFF0FC"/>
          </w:tcPr>
          <w:p>
            <w:pPr>
              <w:spacing w:after="0"/>
              <w:rPr>
                <w:sz w:val="21"/>
                <w:szCs w:val="21"/>
                <w:color w:val="auto"/>
              </w:rPr>
            </w:pPr>
          </w:p>
        </w:tc>
      </w:tr>
      <w:tr>
        <w:trPr>
          <w:trHeight w:val="413"/>
        </w:trPr>
        <w:tc>
          <w:tcPr>
            <w:tcW w:w="7300" w:type="dxa"/>
            <w:vAlign w:val="bottom"/>
            <w:tcBorders>
              <w:top w:val="single" w:sz="8" w:color="CFF0FC"/>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Pr>
          <w:p>
            <w:pPr>
              <w:spacing w:after="0"/>
              <w:rPr>
                <w:sz w:val="18"/>
                <w:szCs w:val="18"/>
                <w:color w:val="auto"/>
              </w:rPr>
            </w:pPr>
          </w:p>
        </w:tc>
      </w:tr>
      <w:tr>
        <w:trPr>
          <w:trHeight w:val="209"/>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18"/>
                <w:szCs w:val="18"/>
                <w:color w:val="auto"/>
              </w:rPr>
            </w:pPr>
          </w:p>
        </w:tc>
      </w:tr>
      <w:tr>
        <w:trPr>
          <w:trHeight w:val="210"/>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$1.00 par value; 1,000,000 shares authorized,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none outstanding</w:t>
            </w:r>
          </w:p>
        </w:tc>
        <w:tc>
          <w:tcPr>
            <w:tcW w:w="2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$.01 par value; 70,000,000 shares authorized; issued and outstanding of</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21,616,527 as of March 31, 2026 and 21,444,665 as of December 31, 2025</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(75,816)</w:t>
            </w: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26,137</w:t>
            </w:r>
          </w:p>
        </w:tc>
        <w:tc>
          <w:tcPr>
            <w:tcW w:w="100" w:type="dxa"/>
            <w:vAlign w:val="bottom"/>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-4362450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-3248025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-3231515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-3231515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-2262505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-453390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18"/>
                <w:szCs w:val="18"/>
                <w:color w:val="auto"/>
              </w:rPr>
            </w:pPr>
          </w:p>
        </w:tc>
      </w:tr>
      <w:tr>
        <w:trPr>
          <w:trHeight w:val="238"/>
        </w:trPr>
        <w:tc>
          <w:tcPr>
            <w:tcW w:w="5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r>
      <w:tr>
        <w:trPr>
          <w:trHeight w:val="210"/>
        </w:trPr>
        <w:tc>
          <w:tcPr>
            <w:tcW w:w="5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licenses</w:t>
            </w:r>
          </w:p>
        </w:tc>
        <w:tc>
          <w:tcPr>
            <w:tcW w:w="21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9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Software maintenance</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2,068</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 and other</w:t>
            </w:r>
          </w:p>
        </w:tc>
        <w:tc>
          <w:tcPr>
            <w:tcW w:w="10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r>
      <w:tr>
        <w:trPr>
          <w:trHeight w:val="209"/>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3,386</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3,608</w:t>
            </w:r>
          </w:p>
        </w:tc>
      </w:tr>
      <w:tr>
        <w:trPr>
          <w:trHeight w:val="42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1,824</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1,663</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1,655</w:t>
            </w: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1,702</w:t>
            </w:r>
          </w:p>
        </w:tc>
      </w:tr>
      <w:tr>
        <w:trPr>
          <w:trHeight w:val="210"/>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7,036</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5,460</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9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0"/>
        </w:trPr>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10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197"/>
        </w:trPr>
        <w:tc>
          <w:tcPr>
            <w:tcW w:w="5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2160" w:type="dxa"/>
            <w:vAlign w:val="bottom"/>
            <w:gridSpan w:val="2"/>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900" w:type="dxa"/>
            <w:vAlign w:val="bottom"/>
            <w:gridSpan w:val="2"/>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216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90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21,593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21,267</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21,593</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-2708275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-1731010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-1448435</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-1165225</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-574040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18"/>
                <w:szCs w:val="18"/>
                <w:color w:val="auto"/>
              </w:rPr>
            </w:pPr>
          </w:p>
        </w:tc>
      </w:tr>
      <w:tr>
        <w:trPr>
          <w:trHeight w:val="238"/>
        </w:trPr>
        <w:tc>
          <w:tcPr>
            <w:tcW w:w="5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198"/>
        </w:trPr>
        <w:tc>
          <w:tcPr>
            <w:tcW w:w="55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34"/>
        </w:trPr>
        <w:tc>
          <w:tcPr>
            <w:tcW w:w="5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6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16"/>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Unbilled receivables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5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5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09"/>
        </w:trPr>
        <w:tc>
          <w:tcPr>
            <w:tcW w:w="55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4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16"/>
        </w:trPr>
        <w:tc>
          <w:tcPr>
            <w:tcW w:w="5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16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r>
      <w:tr>
        <w:trPr>
          <w:trHeight w:val="210"/>
        </w:trPr>
        <w:tc>
          <w:tcPr>
            <w:tcW w:w="5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0"/>
        </w:trPr>
        <w:tc>
          <w:tcPr>
            <w:tcW w:w="5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55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2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1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12,972</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4,576</w:t>
            </w: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8,454</w:t>
            </w:r>
          </w:p>
        </w:tc>
      </w:tr>
      <w:tr>
        <w:trPr>
          <w:trHeight w:val="20"/>
        </w:trPr>
        <w:tc>
          <w:tcPr>
            <w:tcW w:w="5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Cash paid for income taxes</w:t>
            </w:r>
          </w:p>
        </w:tc>
        <w:tc>
          <w:tcPr>
            <w:tcW w:w="1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-2296795</wp:posOffset>
            </wp:positionV>
            <wp:extent cx="1289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-1602740</wp:posOffset>
            </wp:positionV>
            <wp:extent cx="1289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-890905</wp:posOffset>
            </wp:positionV>
            <wp:extent cx="1289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-471170</wp:posOffset>
            </wp:positionV>
            <wp:extent cx="1289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1289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128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r>
        <w:rPr>
          <w:rFonts w:ascii="Times New Roman" w:cs="Times New Roman" w:eastAsia="Times New Roman" w:hAnsi="Times New Roman"/>
          <w:sz w:val="19"/>
          <w:szCs w:val="19"/>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202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188"/>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228"/>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080" w:type="dxa"/>
            <w:vAlign w:val="bottom"/>
            <w:gridSpan w:val="2"/>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3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080" w:type="dxa"/>
            <w:vAlign w:val="bottom"/>
            <w:gridSpan w:val="2"/>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ind w:right="20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21,445</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5"/>
              </w:rPr>
              <w:t>215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101,510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(75,816)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228</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26,137</w:t>
            </w:r>
          </w:p>
        </w:tc>
        <w:tc>
          <w:tcPr>
            <w:tcW w:w="0" w:type="dxa"/>
            <w:vAlign w:val="bottom"/>
          </w:tcPr>
          <w:p>
            <w:pPr>
              <w:spacing w:after="0"/>
              <w:rPr>
                <w:sz w:val="1"/>
                <w:szCs w:val="1"/>
                <w:color w:val="auto"/>
              </w:rPr>
            </w:pPr>
          </w:p>
        </w:tc>
      </w:tr>
      <w:tr>
        <w:trPr>
          <w:trHeight w:val="132"/>
        </w:trPr>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unrestricted stock</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8"/>
        </w:trPr>
        <w:tc>
          <w:tcPr>
            <w:tcW w:w="38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8"/>
        </w:trPr>
        <w:tc>
          <w:tcPr>
            <w:tcW w:w="3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2026</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21,617</w:t>
            </w:r>
          </w:p>
        </w:tc>
        <w:tc>
          <w:tcPr>
            <w:tcW w:w="880" w:type="dxa"/>
            <w:vAlign w:val="bottom"/>
            <w:gridSpan w:val="2"/>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5"/>
              </w:rPr>
              <w:t>217</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101,777</w:t>
            </w: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(79,274)</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22,886</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-25400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180" w:type="dxa"/>
            <w:vAlign w:val="bottom"/>
            <w:gridSpan w:val="7"/>
          </w:tcPr>
          <w:p>
            <w:pPr>
              <w:jc w:val="center"/>
              <w:ind w:right="126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440" w:type="dxa"/>
            <w:vAlign w:val="bottom"/>
            <w:gridSpan w:val="4"/>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3"/>
                <w:szCs w:val="13"/>
                <w:color w:val="auto"/>
              </w:rPr>
            </w:pPr>
          </w:p>
        </w:tc>
        <w:tc>
          <w:tcPr>
            <w:tcW w:w="144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56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6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7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21,097</w:t>
            </w:r>
          </w:p>
        </w:tc>
        <w:tc>
          <w:tcPr>
            <w:tcW w:w="26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100,377</w:t>
            </w:r>
          </w:p>
        </w:tc>
        <w:tc>
          <w:tcPr>
            <w:tcW w:w="30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(69,943)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30,896</w:t>
            </w:r>
          </w:p>
        </w:tc>
        <w:tc>
          <w:tcPr>
            <w:tcW w:w="0" w:type="dxa"/>
            <w:vAlign w:val="bottom"/>
          </w:tcPr>
          <w:p>
            <w:pPr>
              <w:spacing w:after="0"/>
              <w:rPr>
                <w:sz w:val="1"/>
                <w:szCs w:val="1"/>
                <w:color w:val="auto"/>
              </w:rPr>
            </w:pPr>
          </w:p>
        </w:tc>
      </w:tr>
      <w:tr>
        <w:trPr>
          <w:trHeight w:val="297"/>
        </w:trPr>
        <w:tc>
          <w:tcPr>
            <w:tcW w:w="4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of unrestricted stock</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8"/>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4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2025</w:t>
            </w:r>
          </w:p>
        </w:tc>
        <w:tc>
          <w:tcPr>
            <w:tcW w:w="7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21,133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100,504</w:t>
            </w:r>
          </w:p>
        </w:tc>
        <w:tc>
          <w:tcPr>
            <w:tcW w:w="30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(71,541)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29,469</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Company and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w:t>
      </w:r>
    </w:p>
    <w:p>
      <w:pPr>
        <w:spacing w:after="0" w:line="18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We are a leading biometric identity platform company that validates and secures identities using proven and trusted biometrics solutions. Our portfolio enables government agencies and commercial entities to enroll, identify, authenticate and enable using biometrics, which comprise physiological characteristics, such as fingerprints, faces, irises and voices.</w:t>
      </w:r>
    </w:p>
    <w:p>
      <w:pPr>
        <w:spacing w:after="0" w:line="13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 </w:t>
      </w:r>
      <w:r>
        <w:rPr>
          <w:rFonts w:ascii="Times New Roman" w:cs="Times New Roman" w:eastAsia="Times New Roman" w:hAnsi="Times New Roman"/>
          <w:sz w:val="18"/>
          <w:szCs w:val="18"/>
          <w:color w:val="auto"/>
        </w:rPr>
        <w:t>Register biometric identities into an organization’s secure database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w:t>
      </w:r>
      <w:r>
        <w:rPr>
          <w:rFonts w:ascii="Times New Roman" w:cs="Times New Roman" w:eastAsia="Times New Roman" w:hAnsi="Times New Roman"/>
          <w:sz w:val="18"/>
          <w:szCs w:val="18"/>
          <w:color w:val="auto"/>
        </w:rPr>
        <w:t>Utilize an organization’s secure database to accurately identify individuals using biometric data</w:t>
      </w:r>
    </w:p>
    <w:p>
      <w:pPr>
        <w:spacing w:after="0" w:line="184" w:lineRule="exact"/>
        <w:rPr>
          <w:rFonts w:ascii="Times New Roman" w:cs="Times New Roman" w:eastAsia="Times New Roman" w:hAnsi="Times New Roman"/>
          <w:sz w:val="18"/>
          <w:szCs w:val="18"/>
          <w:color w:val="auto"/>
        </w:rPr>
      </w:pPr>
    </w:p>
    <w:p>
      <w:pPr>
        <w:jc w:val="center"/>
        <w:ind w:left="5580" w:right="1080" w:hanging="5198"/>
        <w:spacing w:after="0" w:line="537" w:lineRule="auto"/>
        <w:tabs>
          <w:tab w:leader="none" w:pos="7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Authenticate: </w:t>
      </w:r>
      <w:r>
        <w:rPr>
          <w:rFonts w:ascii="Times New Roman" w:cs="Times New Roman" w:eastAsia="Times New Roman" w:hAnsi="Times New Roman"/>
          <w:sz w:val="18"/>
          <w:szCs w:val="18"/>
          <w:color w:val="auto"/>
        </w:rPr>
        <w:t>Provide frictionless multi-factor, passwordless access to secured accounts and databases with biometric verification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Enable: </w:t>
      </w:r>
      <w:r>
        <w:rPr>
          <w:rFonts w:ascii="Times New Roman" w:cs="Times New Roman" w:eastAsia="Times New Roman" w:hAnsi="Times New Roman"/>
          <w:sz w:val="18"/>
          <w:szCs w:val="18"/>
          <w:color w:val="auto"/>
        </w:rPr>
        <w:t>Manage the lifecycle of secure identities through optimized biometric interchanges</w:t>
      </w:r>
    </w:p>
    <w:p>
      <w:pPr>
        <w:spacing w:after="0" w:line="202"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Our comprehensive portfolio of biometric solutions is based on innovative, robust products designed explicitly for ease of integration, including customer-managed and integration ready biometric frameworks, platforms, software development kits (“SDKs”) and orchestration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3"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value-added resellers ("VARs"), partners, and directly to end user customers.</w:t>
      </w:r>
    </w:p>
    <w:p>
      <w:pPr>
        <w:spacing w:after="0" w:line="147"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Certain amounts in the consolidated financial statements and associated notes may not add due to rounding. All percentages have been calculated using unrounded amounts.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two years ended December 31, 2025 in conjunction with our 2025 Annual Report on Form 10-K. This Form 10-Q should be read in conjunction with that Form 10-K.</w:t>
      </w:r>
    </w:p>
    <w:p>
      <w:pPr>
        <w:spacing w:after="0" w:line="143"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balance sheets, statements of operations and comprehensive loss, statements of cash flows, and statements of stockholders’ equity reflect all adjustments (consisting only of normal recurring items) which are, in the opinion of management, necessary for a fair presentation of financial position at March 31, 2026, and of operations and cash flows for the interim periods ended March 31, 2026 and 2025.</w:t>
      </w:r>
    </w:p>
    <w:p>
      <w:pPr>
        <w:spacing w:after="0" w:line="149" w:lineRule="exact"/>
        <w:rPr>
          <w:sz w:val="20"/>
          <w:szCs w:val="20"/>
          <w:color w:val="auto"/>
        </w:rPr>
      </w:pPr>
    </w:p>
    <w:p>
      <w:pPr>
        <w:ind w:right="640" w:firstLine="374"/>
        <w:spacing w:after="0" w:line="453" w:lineRule="auto"/>
        <w:rPr>
          <w:sz w:val="20"/>
          <w:szCs w:val="20"/>
          <w:color w:val="auto"/>
        </w:rPr>
      </w:pPr>
      <w:r>
        <w:rPr>
          <w:rFonts w:ascii="Times New Roman" w:cs="Times New Roman" w:eastAsia="Times New Roman" w:hAnsi="Times New Roman"/>
          <w:sz w:val="18"/>
          <w:szCs w:val="18"/>
          <w:color w:val="auto"/>
        </w:rPr>
        <w:t xml:space="preserve">The results of operations for the interim periods ended March 31, 2026 are not necessarily indicative of the results to be expected for the year. </w:t>
      </w:r>
      <w:r>
        <w:rPr>
          <w:rFonts w:ascii="Times New Roman" w:cs="Times New Roman" w:eastAsia="Times New Roman" w:hAnsi="Times New Roman"/>
          <w:sz w:val="18"/>
          <w:szCs w:val="18"/>
          <w:i w:val="1"/>
          <w:iCs w:val="1"/>
          <w:color w:val="auto"/>
        </w:rPr>
        <w:t>Reclassifications</w:t>
      </w:r>
    </w:p>
    <w:p>
      <w:pPr>
        <w:spacing w:after="0" w:line="2"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During the quarter ended March 31, 2026, the Company revised the presentation of subscription-based SaaS revenue to classify it within services and other revenue rather than software maintenance revenue. Accordingly, $47 thousand of revenue for the three months ended March 31, 2025, has been reclassified to conform with presentation.</w:t>
      </w:r>
    </w:p>
    <w:p>
      <w:pPr>
        <w:spacing w:after="0" w:line="153"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In addition, $0.1 million of amortization expense related to acquired intangible assets has been reclassified from cost of revenue to general and administrative expense for the three months ended March 31, 2025.</w:t>
      </w:r>
    </w:p>
    <w:p>
      <w:pPr>
        <w:spacing w:after="0" w:line="121"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These reclassifications had no impact on previously reported total revenue, loss from operations, net loss or loss per share and had no impact on the consolidated balance sheets, statements of cash flows, or changes in stockholders’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Aware, Inc. and its subsidiaries, Aware Security Corporation and Fortr3ss, Inc.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Intercompany accounts and transactions have been eliminated in consolidation.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Estimates used in these financial statements include but are not limited to, revenue recognition, goodwill and long-lived asset impairment, compensation, income taxes, and allowance for credit losses.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87"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is effective for the Company’s fiscal year ended December 31, 2025 and has been adopted in these consolidated financial statements. The adoption did not have a material impact on the Company’s consolidated financial statements.</w:t>
      </w:r>
    </w:p>
    <w:p>
      <w:pPr>
        <w:spacing w:after="0" w:line="143" w:lineRule="exact"/>
        <w:rPr>
          <w:sz w:val="20"/>
          <w:szCs w:val="20"/>
          <w:color w:val="auto"/>
        </w:rPr>
      </w:pPr>
    </w:p>
    <w:p>
      <w:pPr>
        <w:jc w:val="both"/>
        <w:ind w:left="380" w:firstLine="53"/>
        <w:spacing w:after="0" w:line="256" w:lineRule="auto"/>
        <w:rPr>
          <w:sz w:val="20"/>
          <w:szCs w:val="20"/>
          <w:color w:val="auto"/>
        </w:rPr>
      </w:pPr>
      <w:r>
        <w:rPr>
          <w:rFonts w:ascii="Times New Roman" w:cs="Times New Roman" w:eastAsia="Times New Roman" w:hAnsi="Times New Roman"/>
          <w:sz w:val="18"/>
          <w:szCs w:val="18"/>
          <w:color w:val="auto"/>
        </w:rPr>
        <w:t>In 2025, the FASB issued ASU No. 2025-06, Intangibles—Goodwill and Other—Internal-Use Software (Subtopic 350-40): Targeted Improvements to the Accounting for Internal-Use Software, which amends existing guidance related to the accounting for internal-use software costs. The amendments are intended to improve the relevance of information provided to investors about a company’s investments in internal-use software and align the accounting for internal-use software costs with modern software development practices. This ASU is effective for fiscal years beginning after December 15, 2026, and interim periods within those fiscal years, with early adoption permitted. The Company is currently evaluating the impact that adoption of this ASU will have on the Company's consolidated financial statements.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p>
      <w:pPr>
        <w:spacing w:after="0" w:line="187" w:lineRule="exact"/>
        <w:rPr>
          <w:sz w:val="20"/>
          <w:szCs w:val="20"/>
          <w:color w:val="auto"/>
        </w:rPr>
      </w:pPr>
    </w:p>
    <w:p>
      <w:pPr>
        <w:jc w:val="both"/>
        <w:ind w:left="380" w:right="20"/>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we apply the following five step model:</w:t>
      </w:r>
    </w:p>
    <w:p>
      <w:pPr>
        <w:spacing w:after="0" w:line="120" w:lineRule="exact"/>
        <w:rPr>
          <w:sz w:val="20"/>
          <w:szCs w:val="20"/>
          <w:color w:val="auto"/>
        </w:rPr>
      </w:pPr>
    </w:p>
    <w:p>
      <w:pPr>
        <w:ind w:left="740" w:hanging="35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each performance obligation is satisfied.</w:t>
      </w:r>
    </w:p>
    <w:p>
      <w:pPr>
        <w:spacing w:after="0" w:line="180"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We categorize revenue as software licenses, software maintenance, or services and other revenue, which includes SaaS subscription arrangements. Revenue from software licenses is recognized at a point in time upon delivery, provided all other revenue recognition criteria are met. We recognize software maintenance revenue and revenue from SaaS subscription arrangements over time on a straight-line basis over the contract period. Services revenue is recognized over time as the services are delivered using an input method (i.e., labor hours incurred as a percentage of total labor hours budgeted), provided all other revenue recognition criteria are met. Other revenue also includes hardware sales that may be included in a software license, is recognized at a point in time upon delivery provided all other revenue recognition criteria are met.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selling prices to estimate SSP when we sell each of the goods and services separately and need to determine whether there is a discount that needs to be allocated based on the relative SSP of the various goods and services within multiple performance obligation arrangements.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 In these instances, we may use information such as the nature of the customer and distribution channel in determining the SSP.</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subscription-based software is sold, the subscription-based software and software maintenance are generally considered distinct performance obligations. The transaction price is allocated to subscription-based software and the software maintenance based on the relative SSP of each performance obligation. We sell subscription-based software for a fixed fee and/or a usage-based royalty fee, sometimes subject to a minimum guarantee. When the amount is in the form of a fixed fee, including the guaranteed minimum in subscription-based royalties, revenue is allocated to the subscription-based software and recognized at a point in time upon delivery, provided all other revenue recognition criteria are met. Revenue allocated to the software maintenance is recognized over the contract term on a straight-line basis. Any subscription-based software fees earned not subject to the guaranteed minimum or earned in excess of the minimum amount are recognized as revenue when the subsequent usage occurs.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contracts can include variable fees, such as the option to purchase additional usage of a previously delivered software license. We may also provide pricing concessions to clients, a business practice that also gives rise to variable fees in contracts.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consideration is typically not adjusted for a significant financing component if the time between payment and the transfer of the related good or service is one year or less under the practical expedient in the guidance. Our revenue arrangements are typically accounted for under such expedient, as payment is typically due within 30 to 60 days. During the three month period ended March 31, 2026 and 2025, none of our contracts contained a significant financing component.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Software as a Service (“SaaS”) contracts is recognized ratably over the subscription period in accordance with the terms of the customer agreement. For the three months ended March 31, 2026 and 2025, we recognized $148 thousand and $47 thousand, respectively, in SaaS revenue. SaaS revenue is included in services and other revenue in the consolidated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associated with each category of revenue may include internal engineering labor, third-party contractors, software license fees, and hardware costs.</w:t>
      </w:r>
    </w:p>
    <w:p>
      <w:pPr>
        <w:spacing w:after="0" w:line="35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61"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organize ourselves into a single segment that reports to the Chief Executive Officer, who is our CODM. We conduct our operations in the United States and sell our products and services to domestic and international customers. Revenue generated from the following geographic regions was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Turkey</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by timing of transfer of goods or services was (in thousands):</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Goods or services transferred over time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4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contract type was (in thousands):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service contracts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4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Subscription-based contracts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4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5001260</wp:posOffset>
            </wp:positionH>
            <wp:positionV relativeFrom="paragraph">
              <wp:posOffset>-1319530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-1302385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-24765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-7620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subscription-based contracts include revenue that may be recognized at a point in time or over time and be part of a fixed fee and or minimum guaranteed fee as well as fees earned and allocated to software maintenance.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timing of our delivery of goods or services is different from the timing of payments made by customers, we recognize either a contract asset (performance precedes customer billing) or a contract liability (customer payment precedes performance). Customers that prepay are represented by the deferred revenue below until the performance obligation is satisfied.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consist of unbilled receivables. Our contract liabilities consist of deferred (unearned) revenue, which is generally related to software maintenance contracts. We classify deferred revenue as current or noncurrent based on the timing of when we expect to recognize revenue.</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59"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tables present changes in our contract assets and liabilities during the three months ended March 31, 2026 and 2025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Advance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3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of Period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r>
      <w:tr>
        <w:trPr>
          <w:trHeight w:val="410"/>
        </w:trPr>
        <w:tc>
          <w:tcPr>
            <w:tcW w:w="3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3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of Period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5,115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4,576</w:t>
            </w:r>
          </w:p>
        </w:tc>
      </w:tr>
      <w:tr>
        <w:trPr>
          <w:trHeight w:val="216"/>
        </w:trPr>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4,535</w:t>
            </w:r>
          </w:p>
        </w:tc>
      </w:tr>
    </w:tbl>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187"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prices from contracts for which work has not been performed or for which goods and services have not been delivered. We expect to recognize revenue on approximately 97% of the remaining deferred revenue over the next 12 months, with the remainder recognized thereafter. As of March 31, 2026, the aggregate amount of the transaction prices allocated to remaining performance obligations for contracts with a duration greater than one year was $0.2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89"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and establishes a fair value hierarchy that prioritizes the inputs to valuation techniques used to measure fair value. The three levels of the fair value hierarchy under the FASB Codification are: Level 1 – valuations that are based on quoted prices (unadjusted) in active markets for identical assets or liabilities that the reporting entity has the ability to access at the measurement date; Level 2 – valuations that are based on quoted prices in markets that are not active or for which all significant inputs are observable, either directly or indirectly; and Level 3 – valuations that require inputs that are both significant to the fair value measurement and unobservable.</w:t>
      </w:r>
    </w:p>
    <w:p>
      <w:pPr>
        <w:spacing w:after="0" w:line="156"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Cash and cash equivalents, which primarily include money market mutual funds were $4.6 million and $7.3 million as of March 31, 2026 and December 31, 2025, respectively. Marketable securities, which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ind w:left="380"/>
        <w:spacing w:after="0" w:line="282" w:lineRule="auto"/>
        <w:rPr>
          <w:sz w:val="20"/>
          <w:szCs w:val="20"/>
          <w:color w:val="auto"/>
        </w:rPr>
      </w:pPr>
      <w:r>
        <w:rPr>
          <w:rFonts w:ascii="Times New Roman" w:cs="Times New Roman" w:eastAsia="Times New Roman" w:hAnsi="Times New Roman"/>
          <w:sz w:val="18"/>
          <w:szCs w:val="18"/>
          <w:color w:val="auto"/>
        </w:rPr>
        <w:t>consists of U.S. Treasuries, were $15.0 million as of March 31, 2026 and December 31, 2025. Our assets and liabilities that are measured at fair value on a recurring basis included the following (in thousands):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gridSpan w:val="1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 Measurement at March 31, 2026 Using:</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Money market funds (included in</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4,046</w:t>
            </w:r>
          </w:p>
        </w:tc>
        <w:tc>
          <w:tcPr>
            <w:tcW w:w="32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19,044</w:t>
            </w:r>
          </w:p>
        </w:tc>
        <w:tc>
          <w:tcPr>
            <w:tcW w:w="100" w:type="dxa"/>
            <w:vAlign w:val="bottom"/>
          </w:tcPr>
          <w:p>
            <w:pPr>
              <w:spacing w:after="0"/>
              <w:rPr>
                <w:sz w:val="21"/>
                <w:szCs w:val="21"/>
                <w:color w:val="auto"/>
              </w:rPr>
            </w:pPr>
          </w:p>
        </w:tc>
      </w:tr>
      <w:tr>
        <w:trPr>
          <w:trHeight w:val="84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 at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8"/>
                <w:szCs w:val="18"/>
                <w:b w:val="1"/>
                <w:bCs w:val="1"/>
                <w:color w:val="auto"/>
              </w:rPr>
              <w:t>2025 Using:</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Money market funds (included in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5,881</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15,026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Borders>
              <w:bottom w:val="single" w:sz="8" w:color="auto"/>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20,907</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-2416810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-2399665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-2416810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-2399665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-2416810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-2399665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-170815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Our investments in marketable securities are classified as available-for-sale and are carried at fair value, with the unrealized gains and losses, net of tax, reported as a component of accumulated other comprehensive income (loss) in stockholders' equity.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Marketable securities by security type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6"/>
                <w:szCs w:val="16"/>
                <w:color w:val="auto"/>
              </w:rPr>
            </w:pPr>
          </w:p>
        </w:tc>
        <w:tc>
          <w:tcPr>
            <w:tcW w:w="168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14,832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center"/>
              <w:ind w:left="1050"/>
              <w:spacing w:after="0"/>
              <w:rPr>
                <w:sz w:val="20"/>
                <w:szCs w:val="20"/>
                <w:color w:val="auto"/>
              </w:rPr>
            </w:pPr>
            <w:r>
              <w:rPr>
                <w:rFonts w:ascii="Times New Roman" w:cs="Times New Roman" w:eastAsia="Times New Roman" w:hAnsi="Times New Roman"/>
                <w:sz w:val="18"/>
                <w:szCs w:val="18"/>
                <w:color w:val="auto"/>
                <w:w w:val="99"/>
              </w:rPr>
              <w:t>(12)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14,998</w:t>
            </w: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(12)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14,998</w:t>
            </w: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00" w:type="dxa"/>
            <w:vAlign w:val="bottom"/>
          </w:tcPr>
          <w:p>
            <w:pPr>
              <w:spacing w:after="0"/>
              <w:rPr>
                <w:sz w:val="16"/>
                <w:szCs w:val="16"/>
                <w:color w:val="auto"/>
              </w:rPr>
            </w:pPr>
          </w:p>
        </w:tc>
        <w:tc>
          <w:tcPr>
            <w:tcW w:w="16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shd w:val="clear" w:color="auto" w:fill="CFF0FC"/>
          </w:tcPr>
          <w:p>
            <w:pPr>
              <w:spacing w:after="0"/>
              <w:rPr>
                <w:sz w:val="18"/>
                <w:szCs w:val="18"/>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-1045210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-1045210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-1045210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-170815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Intangible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8"/>
          <w:szCs w:val="18"/>
          <w:color w:val="auto"/>
        </w:rPr>
        <w:t>Intangible assets and their estimated useful lives as of March 31, 2026 are as follows (dollars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3600" w:type="dxa"/>
            <w:vAlign w:val="bottom"/>
          </w:tcPr>
          <w:p>
            <w:pPr>
              <w:spacing w:after="0"/>
              <w:rPr>
                <w:sz w:val="20"/>
                <w:szCs w:val="20"/>
                <w:color w:val="auto"/>
              </w:rPr>
            </w:pPr>
          </w:p>
        </w:tc>
        <w:tc>
          <w:tcPr>
            <w:tcW w:w="1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 and 10 years  $</w:t>
            </w: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 and 7 years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18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and 7 years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3600" w:type="dxa"/>
            <w:vAlign w:val="bottom"/>
          </w:tcPr>
          <w:p>
            <w:pPr>
              <w:spacing w:after="0"/>
              <w:rPr>
                <w:sz w:val="18"/>
                <w:szCs w:val="18"/>
                <w:color w:val="auto"/>
              </w:rPr>
            </w:pPr>
          </w:p>
        </w:tc>
        <w:tc>
          <w:tcPr>
            <w:tcW w:w="2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2026 and 2025, we recorded $0.1 million of intangible assets amortization expense. We expect to record amortization expense for the remainder of 2026 and each subsequent year and thereafter as follows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31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As of March 31, 2026, we had $3.1 million of goodwill. During the three months ended March 31, 2026, we identified a triggering event due to a decline in market capitalization and continued operating losses and, as a result, performed an interim quantitative goodwill impairment test. Based on this analysis, we determined that the fair value of the reporting unit exceeded its carrying value and no impairment of goodwill was recorded as of March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 Charges</w:t>
      </w:r>
    </w:p>
    <w:p>
      <w:pPr>
        <w:spacing w:after="0" w:line="200" w:lineRule="exact"/>
        <w:rPr>
          <w:sz w:val="20"/>
          <w:szCs w:val="20"/>
          <w:color w:val="auto"/>
        </w:rPr>
      </w:pPr>
    </w:p>
    <w:p>
      <w:pPr>
        <w:spacing w:after="0" w:line="218"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In March 2026, the Company implemented a cost saving plan to better align its cost structure with current business needs. As a result, the Company recognized approximately $0.7 million of one-time severance during the three months ended March 31, 2026, consisting primarily of employee severance and related benefits.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2026, approximately $0.7 million of these costs remained accrued and are expected to be paid within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Computation of Earnings per Share</w:t>
      </w:r>
    </w:p>
    <w:p>
      <w:pPr>
        <w:spacing w:after="0" w:line="189"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 All outstanding common stock equivalents were not included in the per share calculation for diluted earnings per share where we had a net loss, and the effect of their inclusion would be anti-dilutive.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 Equity and Stock-based compensation</w:t>
      </w:r>
    </w:p>
    <w:p>
      <w:pPr>
        <w:spacing w:after="0" w:line="189"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expenses included in our unaudited consolidated statements of operations and comprehensive loss (in thousands):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8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9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-25400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jc w:val="both"/>
        <w:ind w:lef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On January 17, 2024, our stockholders approved the Aware Inc. 2023 Equity and Incentive Plan (the “2023 Plan”).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the 2023 Plan, we ceased making awards under our previous 2001 Nonqualified Stock Plan (as amended, the “2001 Plan”).</w:t>
      </w:r>
    </w:p>
    <w:p>
      <w:pPr>
        <w:spacing w:after="0" w:line="160"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stock options to purchase an aggregate of 10,000 shares of common stock under the 2023 Equity and Incentive Plan. The stock options granted in the three months ended March 31, 2026 were granted as incentive stock options.</w:t>
      </w:r>
    </w:p>
    <w:p>
      <w:pPr>
        <w:spacing w:after="0" w:line="176"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stock options to purchase an aggregate of 1,165,197 shares of common stock under the 2023 Equity and Incentive Plan. Of the total stock options granted in the three months ended March 31, 2025, 327,840 options were granted as incentive stock options and 837,357 as non-qualified stock options.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stock options were exercised in either period.</w:t>
      </w:r>
    </w:p>
    <w:p>
      <w:pPr>
        <w:spacing w:after="0" w:line="225"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8"/>
          <w:szCs w:val="18"/>
          <w:color w:val="auto"/>
        </w:rPr>
        <w:t>The stock options granted during the three months ended March 31, 2025 included 105,000 incentive stock options to a hired executive officer and 1,060,197 options, comprising both incentive and non-qualified options granted to Ajay Amlani, in connection with his appointment as the Company’s Chief Executive Officer. Within the grant to Mr. Amlani, 848,157 options were subject to time-based vesting, with 25 percent vested on the one-year anniversary of the grant date and the remaining 75 percent vesting in 36 equal monthly installments thereafter, subject to Mr. Amlani's continued service. The remaining 212,040 options granted to Mr. Amlani were performance-based and divided equally between two tranches. The first tranche was eligible to vest if certain minimum thresholds for bookings growth for 2025 were achieved, with incremental vesting for higher levels of growth up to a maximum threshold. The second tranche is subject to similar performance conditions based on year-over-year bookings growth in 2026. In both cases, Mr. Amlani must remain in service through December 31 of the applicable performance year for any shares to vest. Expense recognition for the option grant is based on the fair value on the grant date and reflects management’s assessment of the probability of achieving the specified performance conditions. Expense is recognized over the requisite service period and is adjusted for changes in the probability of achievement, as necessary. During 2025, the performance condition for the 2025 tranche was not achieved and the related performance-based options were cancelled. Any compensation expense previously recognized for that tranche was reversed during 2025. Compensation expense related to the 2026 tranche, will be recognized over the applicable service period in 2026 if performance conditions are met.</w:t>
      </w:r>
    </w:p>
    <w:p>
      <w:pPr>
        <w:spacing w:after="0" w:line="374"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 </w:t>
      </w:r>
      <w:r>
        <w:rPr>
          <w:rFonts w:ascii="Times New Roman" w:cs="Times New Roman" w:eastAsia="Times New Roman" w:hAnsi="Times New Roman"/>
          <w:sz w:val="18"/>
          <w:szCs w:val="18"/>
          <w:color w:val="auto"/>
        </w:rPr>
        <w:t>The 2023 Plan permits us to grant restricted stock units to our directors, officers, and employees. Upon vesting, each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 entitles the recipient to receive a number of shares of common stock as set forth in the relevant restricted stock unit agreement. Stock-based compensation expense for restricted stock units is determined based on the fair market value of our stock on the date of grant, provided the number of shares in the grant is fixed on the grant date.</w:t>
      </w:r>
    </w:p>
    <w:p>
      <w:pPr>
        <w:spacing w:after="0" w:line="182"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We granted 217,354 restricted stock units to directors, officers, and employees during the three months ended March 31, 2026. These restricted stock units are scheduled to vest in two installments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ind w:left="380"/>
        <w:spacing w:after="0"/>
        <w:rPr>
          <w:sz w:val="20"/>
          <w:szCs w:val="20"/>
          <w:color w:val="auto"/>
        </w:rPr>
      </w:pPr>
      <w:r>
        <w:rPr>
          <w:rFonts w:ascii="Times New Roman" w:cs="Times New Roman" w:eastAsia="Times New Roman" w:hAnsi="Times New Roman"/>
          <w:sz w:val="18"/>
          <w:szCs w:val="18"/>
          <w:color w:val="auto"/>
        </w:rPr>
        <w:t>108,677 shares shortly after June 30, 2026 and December 31, 2026, respectively. No restricted stock units were forfeited during the quarter.</w:t>
      </w:r>
    </w:p>
    <w:p>
      <w:pPr>
        <w:spacing w:after="0" w:line="200" w:lineRule="exact"/>
        <w:rPr>
          <w:sz w:val="20"/>
          <w:szCs w:val="20"/>
          <w:color w:val="auto"/>
        </w:rPr>
      </w:pPr>
    </w:p>
    <w:p>
      <w:pPr>
        <w:spacing w:after="0" w:line="241"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We granted 411,867 restricted stock units to directors, officers, and employees during the three months ended March 31, 2025. Of these, 245,638 restricted stock units vested in two installments of 122,495 shares and 122,496 shares shortly after June 30, 2025 and December 31, 2025, respectively. In addition, 166,229 restricted stock units were granted on March 13, 2025 to Mr. Amlani in connection with an amendment to his employment agreement. The amendment provided that 80% of Mr. Amlani's CEO’s base salary for the period from March 16, 2025 through December 31, 2025 was paid in restricted stock units. The award represented the right to receive 166,229 shares vested in nine equal monthly installments beginning on April 16, 2025 and continuing on the 16th of each month through December 16, 2025. No restricted stock units were forfeited during the quarter.</w:t>
      </w:r>
    </w:p>
    <w:p>
      <w:pPr>
        <w:spacing w:after="0" w:line="146"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Purchases - </w:t>
      </w:r>
      <w:r>
        <w:rPr>
          <w:rFonts w:ascii="Times New Roman" w:cs="Times New Roman" w:eastAsia="Times New Roman" w:hAnsi="Times New Roman"/>
          <w:sz w:val="18"/>
          <w:szCs w:val="18"/>
          <w:color w:val="auto"/>
        </w:rPr>
        <w:t>On March 1, 2022, our Board of Directors authorized a new stock repurchase program pursuant to which we may 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million of our common stock. On November 30, 2023, our Board of Directors extended the program through December 31, 2025. As of March 31, 2025 we had repurchased $2.1 million of our common stock pursuant to this program. During the three months ended March 31, 2025 we purchased 34,437 common stock. The program did not obligate us to acquire any particular amount of common stock. As of December 31, 2025 the plan expired. We did not repurchase any shares of our common stock during the three months ended March 31, 2026.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recorded an income tax provision of $8,000 and $7,000, respectively.</w:t>
      </w:r>
    </w:p>
    <w:p>
      <w:pPr>
        <w:spacing w:after="0" w:line="198"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March 31, 2026 and December 31, 2025, we have a full valuation allowance recorded against our net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ind w:right="1780" w:firstLine="1837"/>
        <w:spacing w:after="0" w:line="466"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Cautionary Statement for Purposes of the “Safe Harbor” Provisions of the Private Securities Litigation Reform Act of 1995</w:t>
      </w:r>
    </w:p>
    <w:p>
      <w:pPr>
        <w:spacing w:after="0" w:line="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substantial risks and uncertainties. You can identify these statements by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information. However, we may not be able to predict future events accurately. The risk factors listed in this Quarterly Report on Form 10-Q and our Annual Report on Form 10-K for the year ended December 31, 2025, as well as any cautionary language in this Quarterly Report on Form 10-Q, provide examples of risks, uncertainties and events that may cause our actual results to differ materially from the expectations we describe in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You should be aware that the occurrence of any of the events described in these risk factors and elsewhere in this Quarterly Report on Form 10-Q could materially and adversely affect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revenue and results of operations to summarize financial results as we believe these measurements are the most meaningful way to understand our operating performance. The comparisons below reflect certain reclassifications described in more detail in Note 1 to the consolidated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and operating loss for the three months ended March 31, 2026 were $3.4 million and $3.7 million, respectively. These results compared to revenue of $3.6 million and operating loss of $1.9 million for the three months ended March 31, 2025. The decrease in revenue was primarily due to lower software license revenue. The increase in operating loss was primarily due to lower revenue, one-time severance costs in the current quarter of $0.7 million and a $0.6 million increase in salary-related expenses resulting from additional headcount hired in 2025. These severance costs relate to workforce reduction actions taken during the quarter as part of our efforts to align our cost structure with current business conditions. These actions are expected to reduce operating expenses in future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all other financial results are discussed in more detail in the results of operations section that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Software licenses. </w:t>
      </w:r>
      <w:r>
        <w:rPr>
          <w:rFonts w:ascii="Times New Roman" w:cs="Times New Roman" w:eastAsia="Times New Roman" w:hAnsi="Times New Roman"/>
          <w:sz w:val="18"/>
          <w:szCs w:val="18"/>
          <w:color w:val="auto"/>
        </w:rPr>
        <w:t>Software licenses consist of revenue from the sale of biometrics and imaging software products. Sales of software products depend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win proposals to supply software for biometrics systems projects either directly to end user customers or indirectly through channel partners.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license revenue decreased 22% from $1.3 million in the three months ended March 31, 2025 to $1.0 million for the three months ended March 31, 2026. As a percentage of total revenue, software license revenue decreased from 36% in the first quarter of 2025 to 30% in the current year quarter. The $0.3 million decrease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in software license revenue was due primarily to a decrease in perpetual licenses sales due to a decrease in one-time license deals in the current quarter.</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Software license sales have historically fluctuated, and we expect software license revenue to continue to fluctuate since these sales are based on the timing of projects with our customers and partners.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market strategy is to continue to focus on our legacy government biometrics markets and expand into new commercial biometrics markets. We are unable to predict future revenue from commercial markets as these are emerging markets.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Software maintenance</w:t>
      </w:r>
      <w:r>
        <w:rPr>
          <w:rFonts w:ascii="Times New Roman" w:cs="Times New Roman" w:eastAsia="Times New Roman" w:hAnsi="Times New Roman"/>
          <w:sz w:val="18"/>
          <w:szCs w:val="18"/>
          <w:color w:val="auto"/>
        </w:rPr>
        <w:t>. Software maintenance consists of revenue from the sale of software maintenance contracts. Software maintenance contracts entitle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receive software support and software updates, if and when they become available, during the term of the contract.</w:t>
      </w:r>
    </w:p>
    <w:p>
      <w:pPr>
        <w:sectPr>
          <w:pgSz w:w="11900" w:h="16838" w:orient="portrait"/>
          <w:cols w:equalWidth="0" w:num="1">
            <w:col w:w="11240"/>
          </w:cols>
          <w:pgMar w:left="320" w:top="1161" w:right="339" w:bottom="1440" w:gutter="0" w:footer="0" w:header="0"/>
        </w:sectPr>
      </w:pP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maintenance was $2.1 million in each of the three months ended March 31, 2026 and 2025. maintenance revenue increased from 58% in the first quarter of 2025 to 61% in the current year first quarter. to conform to the current period presentation. See Note 1 to the consolidated financial statements reclassifications.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right"/>
        <w:spacing w:after="0" w:line="266" w:lineRule="auto"/>
        <w:rPr>
          <w:sz w:val="20"/>
          <w:szCs w:val="20"/>
          <w:color w:val="auto"/>
        </w:rPr>
      </w:pPr>
      <w:r>
        <w:rPr>
          <w:rFonts w:ascii="Times New Roman" w:cs="Times New Roman" w:eastAsia="Times New Roman" w:hAnsi="Times New Roman"/>
          <w:sz w:val="18"/>
          <w:szCs w:val="18"/>
          <w:color w:val="auto"/>
        </w:rPr>
        <w:t>As a percentage of total revenue, software Prior period amounts have been reclassified for additional information regarding these</w:t>
      </w:r>
    </w:p>
    <w:p>
      <w:pPr>
        <w:spacing w:after="0" w:line="412" w:lineRule="exact"/>
        <w:rPr>
          <w:sz w:val="20"/>
          <w:szCs w:val="20"/>
          <w:color w:val="auto"/>
        </w:rPr>
      </w:pPr>
    </w:p>
    <w:p>
      <w:pPr>
        <w:sectPr>
          <w:pgSz w:w="11900" w:h="16838" w:orient="portrait"/>
          <w:cols w:equalWidth="0" w:num="2">
            <w:col w:w="7920" w:space="80"/>
            <w:col w:w="3240"/>
          </w:cols>
          <w:pgMar w:left="320" w:top="1161" w:right="339" w:bottom="1440" w:gutter="0" w:footer="0" w:header="0"/>
          <w:type w:val="continuous"/>
        </w:sectPr>
      </w:pP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Services and other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other revenue consists of fees we charge to perform software development, integration, installation,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customization, and other professional services, as well as subscription-based SaaS offerings and hardware included with certain software licenses. Similar to software license revenue, services revenue depends on our ability to win biometrics systems projects either directly with end user customers or in conjunction with channel partners. SaaS revenue reflects recurring subscription fees for access to our biometric software solutions.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Services and other revenue may fluctuate based on the timing of commencement and completion of customer projects, the mix of professional services and subscription-based arrangements, and the timing of hardware delivered in connection with software licenses.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Services and other revenue increased 54% from $0.2 million in the three months ended March 31, 2025 to $0.3 million in the three months ended March 31, 2026. As a percentage of total revenue, services and other revenue increased from 5% in the three months ended March 31, 2025 to 8% in the current year period. The increase was primarily due to growth in SaaS revenue, which increased from $47 thousand in the three months ended March 31, 2025 to $0.1 million in the current year first quarter. The increase in SaaS revenue reflects expansion of subscription-based customer arrangements. Prior period amounts have been reclassified to conform to the current period presentation. See Note 1 to the consolidated financial statements for additional information regarding these reclassifications.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Cost of revenue consists primarily of engineering costs to perform customer services projects, amortization of intangible assets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and other third-party costs that are included with some of our software licenses. Such costs primarily include: i) engineering salaries, stock-based compensation, fringe benefits, and facilities; ii) engineering consultants and contractors; iii) software license fees; and iv) hardware costs.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increased 93% from $0.2 million in the three months ended March 31, 2025 to $0.3 million in the three months ended March 31, 2026. Cost revenue as a percentage of total revenue increased from 5% in the first quarter of 2025 to 10% in the current year first quarter. The $0.1 million increase was the result of increased software license costs. Prior period amounts have been reclassified to conform to the current period presentation. See Note 1 to the consolidated financial statements for additional information regarding these reclassifications.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margins on revenue are a function of: i) the nature of the projects; ii) the level of engineering difficulty and labor hours required to complete project tasks; iii) how much we were able to charge; and iv) product mix. We expect that gross margins on services and other revenue will continue to fluctuate in future periods based on the nature, complexity, and pricing of future projects and product mix.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7" w:name="page18"/>
    <w:bookmarkEnd w:id="17"/>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of costs for: i) engineering personnel, including salaries,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revenue section, engineering costs incurred to provide engineering services for customer projects are classified as cost of revenue, and are not included in research and development expense.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total engineering costs to research and development expense and engineering costs to perform customer services included in cost of revenue was (in thousands):</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r>
      <w:tr>
        <w:trPr>
          <w:trHeight w:val="210"/>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costs allocated to cost of revenue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engineering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engineering costs increased 62% from $2.0 million in the three months ended March 31, 2025 to $3.3 million in the three months ended March 31, 2026. As a percentage of total revenue, total engineering costs increased from 56% in the three months ended March 31, 2025 to 97% in the same current year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spending increase for the three months ended March 31, 2026 compared to the same prior year period was primarily due to one-time severance costs of $0.6 million including the termination of our chief technology officer and $0.7 million increase in salary related costs in relation to additional headcount hired in 2025. We anticipate engineering expenses to decrease during the remainder of 2026 as we focus on strategic product development initiatives.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and marketing expense. </w:t>
      </w:r>
      <w:r>
        <w:rPr>
          <w:rFonts w:ascii="Times New Roman" w:cs="Times New Roman" w:eastAsia="Times New Roman" w:hAnsi="Times New Roman"/>
          <w:sz w:val="18"/>
          <w:szCs w:val="18"/>
          <w:color w:val="auto"/>
        </w:rPr>
        <w:t>Selling and marketing expense primarily consists of costs for: i) sales and marketing personnel, including salaries,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stock-based compensation, fringe benefits, travel, and facilities; and ii) advertising and promotion expenses.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10% from $1.7 million in the three months ended March 31, 2025 to $1.8 million in the same three month period of 2026. As a percentage of total revenue, selling and marketing expense increased from 45% in the first quarter of 2025 to 49% in the corresponding period in 2026.</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spending increases for the three months ended March 31, 2026, compared to the same period in the prior year was primarily due to one time severance cost of $0.1 million and $0.1 million related to higher headcount hired in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We expect selling and marketing expense </w:t>
      </w:r>
      <w:r>
        <w:rPr>
          <w:rFonts w:ascii="Times New Roman" w:cs="Times New Roman" w:eastAsia="Times New Roman" w:hAnsi="Times New Roman"/>
          <w:sz w:val="17"/>
          <w:szCs w:val="17"/>
          <w:color w:val="auto"/>
        </w:rPr>
        <w:t>to decrease during the remainder of 2026 as we focus on strategic product development initiatives.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consists primarily of costs for: i) officers, directors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$1.7 million for each of the three months ended March 31, 2026 and 2025. As a percentage of total revenue, general and administrative expense was 47% in the first quarter of 2025 and 49% in the corresponding period of 2026. Prior period amounts have been reclassified to conform to the current period presentation. See Note 1 to the consolidated financial statements for additional information regarding these reclassifications.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general and administrative expenses are expected depending on specific activities in a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was $0.2 million and $0.3 million in the three months ended March 31, 2026 and 2025, respectively. The decrease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in the three months ended March 31, 2026 was primarily the result of lower average cash balances during the current year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interest income to decrease slightly over the remainder of 2026 due to a lower projected average cash balance.</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Total income tax expense was $8 thousand and $7 thousand for the three months ended March 31, 2026 and 2025, respectively. The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expense relates to state income taxes.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March 31, 2026 and December 31, 2025, we recorded a full valuation allowance against our net deferred tax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we had cash, cash equivalents and marketable securities of $19.6 million, which represented a decrease of $2.7 million from December 31, 2025. The decrease in cash, cash equivalents and marketable securities was primarily due to the impact of $2.7 million of cash used in operating activities.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sixteen thousand in the first three months of 2026, which primarily consisted of net purchases of marketable securities.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 from the date of this filing and to meet our known long-term cash requirements. Whether these resources are adequate to meet our liquidity needs beyond that period will depend on our future growth, operating results, and the investments needed to support our operations. If we require additional capital resources, we may utilize available funds or seek external financing, which may not be available on terms we find attractive or at all.</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inflation has not had a material impact on our financial results. There can be no assurance, however, that inflation will not adversely affect our financial results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Consolidated Financial Statements in Item 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were effective as of March 31,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We are not party to any lawsuit or proceeding that, in our opinion, is material to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Our Annual Report on Form 10-K for the year ended December 31, 2025 includes a detailed discussion of our risk factors under the heading “Part I, Item 1A—Risk Factors.” There have been no material changes from such risk factors during the three months ended March 31, 2026. You should consider carefully the risk factors discussed in our Annual Report on Form 10-K for the year ended December 31, 2025, and all other information contained in or incorporated by reference in this Quarterly Report on Form 10-Q before making an investment decision. If any of the risks discussed in the Annual Report on Form 10-K or herein actually occur, they may materially harm our business, financial condition, operating results, cash flows or growth prospects. As a result, the market price of our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modified, or terminated a “Rule 10b5-1 trading arrangement” or “non-Rule 10b5-1 trading arrangement,” as each term is defined in item 408(a) of Regulation S-K.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140" w:type="dxa"/>
            <w:vAlign w:val="bottom"/>
            <w:gridSpan w:val="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3.1</w:t>
            </w:r>
          </w:p>
        </w:tc>
        <w:tc>
          <w:tcPr>
            <w:tcW w:w="9640" w:type="dxa"/>
            <w:vAlign w:val="bottom"/>
            <w:gridSpan w:val="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Articles of Organization, as amended (filed as Exhibit 3.1 to the Company’s Form 10-K for the year ended</w:t>
              </w:r>
            </w:hyperlink>
          </w:p>
        </w:tc>
      </w:tr>
      <w:tr>
        <w:trPr>
          <w:trHeight w:val="20"/>
        </w:trPr>
        <w:tc>
          <w:tcPr>
            <w:tcW w:w="160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December 31, 2008 and incorporated herein by reference).</w:t>
              </w:r>
            </w:hyperlink>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3.2</w:t>
            </w:r>
          </w:p>
        </w:tc>
        <w:tc>
          <w:tcPr>
            <w:tcW w:w="9640" w:type="dxa"/>
            <w:vAlign w:val="bottom"/>
            <w:gridSpan w:val="9"/>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By-Laws (filed as Exhibit 3.1 to the Company’s Form 8-K filed with the Securities and Exchange</w:t>
              </w:r>
            </w:hyperlink>
          </w:p>
        </w:tc>
      </w:tr>
      <w:tr>
        <w:trPr>
          <w:trHeight w:val="20"/>
        </w:trPr>
        <w:tc>
          <w:tcPr>
            <w:tcW w:w="160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Commission on December 10, 2007 and incorporated herein by reference).</w:t>
              </w:r>
            </w:hyperlink>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640" w:type="dxa"/>
            <w:vAlign w:val="bottom"/>
            <w:gridSpan w:val="9"/>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Letter Agreement dated as of March 10, 2026, by and between Aware, Inc. and Mohamed Lazzouni (incorporated by reference to</w:t>
              </w:r>
            </w:hyperlink>
          </w:p>
        </w:tc>
      </w:tr>
      <w:tr>
        <w:trPr>
          <w:trHeight w:val="20"/>
        </w:trPr>
        <w:tc>
          <w:tcPr>
            <w:tcW w:w="160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57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Exhibit 10.1 to the Company’s Form 8-K filed with the Securities and Exchange Commission on March 12, 2026, and incorporated</w:t>
              </w:r>
            </w:hyperlink>
          </w:p>
        </w:tc>
      </w:tr>
      <w:tr>
        <w:trPr>
          <w:trHeight w:val="20"/>
        </w:trPr>
        <w:tc>
          <w:tcPr>
            <w:tcW w:w="160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57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40" w:type="dxa"/>
            <w:vAlign w:val="bottom"/>
            <w:gridSpan w:val="9"/>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herein by reference).</w:t>
              </w:r>
            </w:hyperlink>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31.1</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724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31.2</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7440" w:type="dxa"/>
            <w:vAlign w:val="bottom"/>
            <w:tcBorders>
              <w:right w:val="single" w:sz="8" w:color="0000EE"/>
            </w:tcBorders>
            <w:gridSpan w:val="5"/>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32.1</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Principal Financial Officer pursuant to Section 906 of the Sarbanes-Oxley Act of 2002.</w:t>
            </w:r>
          </w:p>
        </w:tc>
      </w:tr>
      <w:tr>
        <w:trPr>
          <w:trHeight w:val="20"/>
        </w:trPr>
        <w:tc>
          <w:tcPr>
            <w:tcW w:w="1600" w:type="dxa"/>
            <w:vAlign w:val="bottom"/>
            <w:tcBorders>
              <w:right w:val="single" w:sz="8" w:color="0000EE"/>
            </w:tcBorders>
          </w:tcPr>
          <w:p>
            <w:pPr>
              <w:spacing w:after="0" w:line="20" w:lineRule="exact"/>
              <w:rPr>
                <w:sz w:val="1"/>
                <w:szCs w:val="1"/>
                <w:color w:val="auto"/>
              </w:rPr>
            </w:pPr>
          </w:p>
        </w:tc>
        <w:tc>
          <w:tcPr>
            <w:tcW w:w="950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from Aware, Inc.’s Quarterly Report on Form 10-Q for the quarter ended March 31, 2026,</w:t>
            </w:r>
          </w:p>
        </w:tc>
      </w:tr>
      <w:tr>
        <w:trPr>
          <w:trHeight w:val="216"/>
        </w:trPr>
        <w:tc>
          <w:tcPr>
            <w:tcW w:w="160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in iXBRL (Inline eXtensible Business Reporting Language), as follows: i) Consolidated Balance Sheets as of March 31,</w:t>
            </w:r>
          </w:p>
        </w:tc>
      </w:tr>
      <w:tr>
        <w:trPr>
          <w:trHeight w:val="216"/>
        </w:trPr>
        <w:tc>
          <w:tcPr>
            <w:tcW w:w="160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2026 and December 31, 2025, ii) Consolidated Statements of Operations and Comprehensive Loss for the Three and Months Ended</w:t>
            </w:r>
          </w:p>
        </w:tc>
      </w:tr>
      <w:tr>
        <w:trPr>
          <w:trHeight w:val="216"/>
        </w:trPr>
        <w:tc>
          <w:tcPr>
            <w:tcW w:w="160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March 31, 2026 and 2025 iii) Consolidated Statements of Cash Flows for the Three Months Ended March 31, 2026 and 2025 iv)</w:t>
            </w:r>
          </w:p>
        </w:tc>
      </w:tr>
      <w:tr>
        <w:trPr>
          <w:trHeight w:val="216"/>
        </w:trPr>
        <w:tc>
          <w:tcPr>
            <w:tcW w:w="1600" w:type="dxa"/>
            <w:vAlign w:val="bottom"/>
          </w:tcPr>
          <w:p>
            <w:pPr>
              <w:spacing w:after="0"/>
              <w:rPr>
                <w:sz w:val="18"/>
                <w:szCs w:val="18"/>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Months Ended March 31, 2026 and 2025, and v) Notes to</w:t>
            </w:r>
          </w:p>
        </w:tc>
      </w:tr>
      <w:tr>
        <w:trPr>
          <w:trHeight w:val="234"/>
        </w:trPr>
        <w:tc>
          <w:tcPr>
            <w:tcW w:w="160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33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Document Set.</w:t>
            </w:r>
          </w:p>
        </w:tc>
      </w:tr>
      <w:tr>
        <w:trPr>
          <w:trHeight w:val="864"/>
        </w:trPr>
        <w:tc>
          <w:tcPr>
            <w:tcW w:w="1600" w:type="dxa"/>
            <w:vAlign w:val="bottom"/>
          </w:tcPr>
          <w:p>
            <w:pPr>
              <w:spacing w:after="0"/>
              <w:rPr>
                <w:sz w:val="24"/>
                <w:szCs w:val="24"/>
                <w:color w:val="auto"/>
              </w:rPr>
            </w:pPr>
          </w:p>
        </w:tc>
        <w:tc>
          <w:tcPr>
            <w:tcW w:w="4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6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AWARE, INC.</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 2026</w:t>
            </w: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1, 2026</w:t>
            </w: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tcPr>
          <w:p>
            <w:pPr>
              <w:spacing w:after="0"/>
              <w:rPr>
                <w:sz w:val="24"/>
                <w:szCs w:val="24"/>
                <w:color w:val="auto"/>
              </w:rPr>
            </w:pPr>
          </w:p>
        </w:tc>
      </w:tr>
      <w:tr>
        <w:trPr>
          <w:trHeight w:val="763"/>
        </w:trPr>
        <w:tc>
          <w:tcPr>
            <w:tcW w:w="6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8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Ajay K. Amlani, Chief Executive Officer &amp; President of Aware, Inc., certify that:</w:t>
      </w:r>
    </w:p>
    <w:p>
      <w:pPr>
        <w:spacing w:after="0" w:line="1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Aware, Inc.;</w:t>
      </w:r>
    </w:p>
    <w:p>
      <w:pPr>
        <w:spacing w:after="0" w:line="184"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2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5"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 Traverse, Chief Financial Officer of Aware, Inc., certify that:</w:t>
      </w:r>
    </w:p>
    <w:p>
      <w:pPr>
        <w:spacing w:after="0" w:line="185"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Aware, Inc.;</w:t>
      </w:r>
    </w:p>
    <w:p>
      <w:pPr>
        <w:spacing w:after="0" w:line="184"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right="220" w:hanging="479"/>
        <w:spacing w:after="0" w:line="266" w:lineRule="auto"/>
        <w:tabs>
          <w:tab w:leader="none" w:pos="8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5"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Aware, Inc. (the “Company”) for the quarter ended March 31, 2026,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0" w:lineRule="exact"/>
        <w:rPr>
          <w:sz w:val="20"/>
          <w:szCs w:val="20"/>
          <w:color w:val="auto"/>
        </w:rPr>
      </w:pPr>
    </w:p>
    <w:p>
      <w:pPr>
        <w:ind w:left="1160" w:hanging="403"/>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20" w:hanging="403"/>
        <w:spacing w:after="0" w:line="28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c>
          <w:tcPr>
            <w:tcW w:w="11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11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11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r>
    </w:tbl>
    <w:p>
      <w:pPr>
        <w:spacing w:after="0" w:line="19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03" Type="http://schemas.openxmlformats.org/officeDocument/2006/relationships/hyperlink" Target="https://www.sec.gov/Archives/edgar/data/0001015739/000118811209000293/ex3-1.htm" TargetMode="External"/><Relationship Id="rId104" Type="http://schemas.openxmlformats.org/officeDocument/2006/relationships/hyperlink" Target="https://www.sec.gov/Archives/edgar/data/0001015739/000118811207003562/ex3-1.htm" TargetMode="External"/><Relationship Id="rId105" Type="http://schemas.openxmlformats.org/officeDocument/2006/relationships/hyperlink" Target="https://www.sec.gov/Archives/edgar/data/1015739/000119312526104061/awre-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2026-05-01T15:09:54Z</dcterms:created>
  <dcterms:modified xsi:type="dcterms:W3CDTF">2026-05-01T15:09:54Z</dcterms:modified>
</cp:coreProperties>
</file>