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48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85"/>
              </w:rPr>
              <w:t>Massachusetts</w:t>
            </w:r>
          </w:p>
        </w:tc>
        <w:tc>
          <w:tcPr>
            <w:tcW w:w="1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1"/>
              </w:rPr>
              <w:t>04-2911026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80" w:type="dxa"/>
            <w:vAlign w:val="bottom"/>
            <w:gridSpan w:val="3"/>
          </w:tcPr>
          <w:p>
            <w:pPr>
              <w:spacing w:after="0"/>
              <w:rPr>
                <w:sz w:val="20"/>
                <w:szCs w:val="20"/>
                <w:color w:val="auto"/>
              </w:rPr>
            </w:pPr>
            <w:r>
              <w:rPr>
                <w:rFonts w:ascii="Arial" w:cs="Arial" w:eastAsia="Arial" w:hAnsi="Arial"/>
                <w:sz w:val="18"/>
                <w:szCs w:val="18"/>
                <w:color w:val="auto"/>
              </w:rPr>
              <w:t>(State or Other Jurisdiction of</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840" w:type="dxa"/>
            <w:vAlign w:val="bottom"/>
            <w:vMerge w:val="restart"/>
          </w:tcPr>
          <w:p>
            <w:pPr>
              <w:jc w:val="right"/>
              <w:ind w:right="750"/>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July 26, 2010:</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40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Number of Shares Outstanding</w:t>
            </w: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37"/>
        </w:trPr>
        <w:tc>
          <w:tcPr>
            <w:tcW w:w="5720" w:type="dxa"/>
            <w:vAlign w:val="bottom"/>
            <w:gridSpan w:val="3"/>
          </w:tcPr>
          <w:p>
            <w:pPr>
              <w:jc w:val="center"/>
              <w:ind w:right="2680"/>
              <w:spacing w:after="0"/>
              <w:rPr>
                <w:sz w:val="20"/>
                <w:szCs w:val="20"/>
                <w:color w:val="auto"/>
              </w:rPr>
            </w:pPr>
            <w:r>
              <w:rPr>
                <w:rFonts w:ascii="Arial" w:cs="Arial" w:eastAsia="Arial" w:hAnsi="Arial"/>
                <w:sz w:val="18"/>
                <w:szCs w:val="18"/>
                <w:color w:val="auto"/>
                <w:w w:val="89"/>
              </w:rPr>
              <w:t>Common Stock, par value $0.01 per share</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rPr>
              <w:t>19,927,982 shares</w:t>
            </w:r>
          </w:p>
        </w:tc>
      </w:tr>
      <w:tr>
        <w:trPr>
          <w:trHeight w:val="118"/>
        </w:trPr>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300" w:type="dxa"/>
            <w:vAlign w:val="bottom"/>
          </w:tcPr>
          <w:p>
            <w:pPr>
              <w:spacing w:after="0"/>
              <w:rPr>
                <w:sz w:val="10"/>
                <w:szCs w:val="10"/>
                <w:color w:val="auto"/>
              </w:rPr>
            </w:pPr>
          </w:p>
        </w:tc>
      </w:tr>
      <w:tr>
        <w:trPr>
          <w:trHeight w:val="71"/>
        </w:trPr>
        <w:tc>
          <w:tcPr>
            <w:tcW w:w="130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400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287"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846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AWARE, INC.</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46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FORM 10-Q</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846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FOR THE QUARTER ENDED JUNE 30, 2010</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846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TABLE OF CONTENTS</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846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460" w:type="dxa"/>
            <w:vAlign w:val="bottom"/>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Consolidated Balance Sheets as of</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June 30, 2010 and December 31, 2009</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Consolidated Statements of Operations for the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Three and Six Months Ended June 30, 2010 and</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June 30, 2009</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Six Months Ended June 30, 2010 and June 30, 2009</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46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8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846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w:t>
            </w:r>
          </w:p>
        </w:tc>
        <w:tc>
          <w:tcPr>
            <w:tcW w:w="2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8460" w:type="dxa"/>
            <w:vAlign w:val="bottom"/>
            <w:vMerge w:val="restart"/>
          </w:tcPr>
          <w:p>
            <w:pPr>
              <w:ind w:left="200"/>
              <w:spacing w:after="0"/>
              <w:rPr>
                <w:sz w:val="20"/>
                <w:szCs w:val="20"/>
                <w:color w:val="auto"/>
              </w:rPr>
            </w:pPr>
            <w:r>
              <w:rPr>
                <w:rFonts w:ascii="Arial" w:cs="Arial" w:eastAsia="Arial" w:hAnsi="Arial"/>
                <w:sz w:val="18"/>
                <w:szCs w:val="18"/>
                <w:color w:val="auto"/>
              </w:rPr>
              <w:t>Market Risk</w:t>
            </w:r>
          </w:p>
        </w:tc>
        <w:tc>
          <w:tcPr>
            <w:tcW w:w="2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84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846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846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46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846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8460" w:type="dxa"/>
            <w:vAlign w:val="bottom"/>
          </w:tcPr>
          <w:p>
            <w:pPr>
              <w:ind w:left="200"/>
              <w:spacing w:after="0"/>
              <w:rPr>
                <w:sz w:val="20"/>
                <w:szCs w:val="20"/>
                <w:color w:val="auto"/>
              </w:rPr>
            </w:pPr>
            <w:r>
              <w:rPr>
                <w:rFonts w:ascii="Arial" w:cs="Arial" w:eastAsia="Arial" w:hAnsi="Arial"/>
                <w:sz w:val="18"/>
                <w:szCs w:val="18"/>
                <w:color w:val="auto"/>
              </w:rPr>
              <w:t>Exhibits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08"/>
        </w:trPr>
        <w:tc>
          <w:tcPr>
            <w:tcW w:w="840" w:type="dxa"/>
            <w:vAlign w:val="bottom"/>
          </w:tcPr>
          <w:p>
            <w:pPr>
              <w:spacing w:after="0"/>
              <w:rPr>
                <w:sz w:val="24"/>
                <w:szCs w:val="24"/>
                <w:color w:val="auto"/>
              </w:rPr>
            </w:pPr>
          </w:p>
        </w:tc>
        <w:tc>
          <w:tcPr>
            <w:tcW w:w="8460" w:type="dxa"/>
            <w:vAlign w:val="bottom"/>
          </w:tcPr>
          <w:p>
            <w:pPr>
              <w:jc w:val="center"/>
              <w:ind w:left="1190"/>
              <w:spacing w:after="0"/>
              <w:rPr>
                <w:sz w:val="20"/>
                <w:szCs w:val="20"/>
                <w:color w:val="auto"/>
              </w:rPr>
            </w:pPr>
            <w:r>
              <w:rPr>
                <w:rFonts w:ascii="Arial" w:cs="Arial" w:eastAsia="Arial" w:hAnsi="Arial"/>
                <w:sz w:val="18"/>
                <w:szCs w:val="18"/>
                <w:color w:val="auto"/>
                <w:w w:val="99"/>
              </w:rPr>
              <w:t>2</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vMerge w:val="restart"/>
          </w:tcPr>
          <w:p>
            <w:pPr>
              <w:spacing w:after="0"/>
              <w:rPr>
                <w:sz w:val="20"/>
                <w:szCs w:val="20"/>
                <w:color w:val="auto"/>
              </w:rPr>
            </w:pPr>
            <w:r>
              <w:rPr>
                <w:rFonts w:ascii="Arial" w:cs="Arial" w:eastAsia="Arial" w:hAnsi="Arial"/>
                <w:sz w:val="18"/>
                <w:szCs w:val="18"/>
                <w:color w:val="auto"/>
              </w:rPr>
              <w:t>#160;</w:t>
            </w:r>
          </w:p>
        </w:tc>
        <w:tc>
          <w:tcPr>
            <w:tcW w:w="1420" w:type="dxa"/>
            <w:vAlign w:val="bottom"/>
            <w:vMerge w:val="restart"/>
          </w:tcPr>
          <w:p>
            <w:pPr>
              <w:jc w:val="right"/>
              <w:ind w:right="10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&amp;</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color w:val="auto"/>
              </w:rPr>
              <w:t>PART 1. FINANCIAL INFORMATION</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4"/>
          </w:tcPr>
          <w:p>
            <w:pPr>
              <w:jc w:val="center"/>
              <w:ind w:left="2350"/>
              <w:spacing w:after="0"/>
              <w:rPr>
                <w:sz w:val="20"/>
                <w:szCs w:val="20"/>
                <w:color w:val="auto"/>
              </w:rPr>
            </w:pPr>
            <w:r>
              <w:rPr>
                <w:rFonts w:ascii="Arial" w:cs="Arial" w:eastAsia="Arial" w:hAnsi="Arial"/>
                <w:sz w:val="18"/>
                <w:szCs w:val="18"/>
                <w:b w:val="1"/>
                <w:bCs w:val="1"/>
                <w:color w:val="auto"/>
              </w:rPr>
              <w:t>ITEM 1: CONSOLIDATED FINANCIAL STATEMENTS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color w:val="auto"/>
                <w:w w:val="98"/>
              </w:rPr>
              <w:t>AWARE, INC.</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color w:val="auto"/>
                <w:w w:val="99"/>
              </w:rPr>
              <w:t>CONSOLIDATED BALANCE SHEETS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jc w:val="center"/>
              <w:ind w:left="3950"/>
              <w:spacing w:after="0"/>
              <w:rPr>
                <w:sz w:val="20"/>
                <w:szCs w:val="20"/>
                <w:color w:val="auto"/>
              </w:rPr>
            </w:pPr>
            <w:r>
              <w:rPr>
                <w:rFonts w:ascii="Arial" w:cs="Arial" w:eastAsia="Arial" w:hAnsi="Arial"/>
                <w:sz w:val="18"/>
                <w:szCs w:val="18"/>
                <w:b w:val="1"/>
                <w:bCs w:val="1"/>
                <w:color w:val="auto"/>
                <w:w w:val="88"/>
              </w:rPr>
              <w:t>(in thousands, except share data)</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Pr>
          <w:p>
            <w:pPr>
              <w:jc w:val="center"/>
              <w:ind w:left="3930"/>
              <w:spacing w:after="0"/>
              <w:rPr>
                <w:sz w:val="20"/>
                <w:szCs w:val="20"/>
                <w:color w:val="auto"/>
              </w:rPr>
            </w:pPr>
            <w:r>
              <w:rPr>
                <w:rFonts w:ascii="Arial" w:cs="Arial" w:eastAsia="Arial" w:hAnsi="Arial"/>
                <w:sz w:val="18"/>
                <w:szCs w:val="18"/>
                <w:b w:val="1"/>
                <w:bCs w:val="1"/>
                <w:color w:val="auto"/>
                <w:w w:val="91"/>
              </w:rPr>
              <w:t>(unaudited)</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7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39,129</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39,669</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74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7"/>
        </w:trPr>
        <w:tc>
          <w:tcPr>
            <w:tcW w:w="74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45,329</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0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4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74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740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18"/>
        </w:trPr>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600"/>
              <w:spacing w:after="0"/>
              <w:rPr>
                <w:sz w:val="20"/>
                <w:szCs w:val="20"/>
                <w:color w:val="auto"/>
              </w:rPr>
            </w:pPr>
            <w:r>
              <w:rPr>
                <w:rFonts w:ascii="Arial" w:cs="Arial" w:eastAsia="Arial" w:hAnsi="Arial"/>
                <w:sz w:val="18"/>
                <w:szCs w:val="18"/>
                <w:color w:val="auto"/>
              </w:rPr>
              <w:t>and outstanding 19,927,982 as of June 30, 2010 and 19,809,315</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600"/>
              <w:spacing w:after="0"/>
              <w:rPr>
                <w:sz w:val="20"/>
                <w:szCs w:val="20"/>
                <w:color w:val="auto"/>
              </w:rPr>
            </w:pPr>
            <w:r>
              <w:rPr>
                <w:rFonts w:ascii="Arial" w:cs="Arial" w:eastAsia="Arial" w:hAnsi="Arial"/>
                <w:sz w:val="18"/>
                <w:szCs w:val="18"/>
                <w:color w:val="auto"/>
              </w:rPr>
              <w:t>as of December 31, 2009</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37"/>
        </w:trPr>
        <w:tc>
          <w:tcPr>
            <w:tcW w:w="74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(27,996)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23"/>
        </w:trPr>
        <w:tc>
          <w:tcPr>
            <w:tcW w:w="740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48,623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51,917</w:t>
            </w:r>
          </w:p>
        </w:tc>
        <w:tc>
          <w:tcPr>
            <w:tcW w:w="12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51,454</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9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6,671</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Contract revenue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1,442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2,719</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contract revenue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3,058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6,170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2,265</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2,429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14,237</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(1,646)</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(3,714)</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(148)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(3,718)</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loss per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(0.17)</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20,666</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21,974</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20,666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21,974</w:t>
            </w: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86"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(3,718)</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(2,424)</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37"/>
        </w:trPr>
        <w:tc>
          <w:tcPr>
            <w:tcW w:w="88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Expenses from sale of assets</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other assets</w:t>
            </w:r>
          </w:p>
        </w:tc>
        <w:tc>
          <w:tcPr>
            <w:tcW w:w="2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Shares surrendered by employees to pay taxes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unrestricted stock</w:t>
            </w: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(8,950)</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24"/>
                <w:szCs w:val="2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(13,656)</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39,669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w:t>
            </w:r>
          </w:p>
        </w:tc>
        <w:tc>
          <w:tcPr>
            <w:tcW w:w="6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39,129</w:t>
            </w:r>
          </w:p>
        </w:tc>
        <w:tc>
          <w:tcPr>
            <w:tcW w:w="10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31,860</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13" w:right="27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92" w:hanging="692"/>
        <w:spacing w:after="0"/>
        <w:tabs>
          <w:tab w:leader="none" w:pos="692"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The accompanying unaudited consolidated balance sheet, statements of operations, and statements of cash flows reflect all adjustments (consisting only of normal recurring items) which are, in the opinion of management, necessary for a fair presentation of financial position at June 30, 2010, and of operations and cash flows for the interim periods ended June 30, 2010 and 2009.</w:t>
      </w:r>
    </w:p>
    <w:p>
      <w:pPr>
        <w:spacing w:after="0" w:line="208"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2009 in conjunction with our 2009 Annual Report on Form 10-K. This Form 10-Q should be read in conjunction with that Form 10-K.</w:t>
      </w:r>
    </w:p>
    <w:p>
      <w:pPr>
        <w:spacing w:after="0" w:line="21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The results of operations for the interim period ended June 30, 2010 are not necessarily indicative of the results to be expected for the year.</w:t>
      </w:r>
    </w:p>
    <w:p>
      <w:pPr>
        <w:spacing w:after="0" w:line="264" w:lineRule="exact"/>
        <w:rPr>
          <w:sz w:val="20"/>
          <w:szCs w:val="20"/>
          <w:color w:val="auto"/>
        </w:rPr>
      </w:pPr>
    </w:p>
    <w:p>
      <w:pPr>
        <w:ind w:left="672" w:hanging="672"/>
        <w:spacing w:after="0"/>
        <w:tabs>
          <w:tab w:leader="none" w:pos="672"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ind w:left="652"/>
        <w:spacing w:after="0" w:line="276" w:lineRule="auto"/>
        <w:rPr>
          <w:sz w:val="20"/>
          <w:szCs w:val="20"/>
          <w:color w:val="auto"/>
        </w:rPr>
      </w:pPr>
      <w:r>
        <w:rPr>
          <w:rFonts w:ascii="Arial" w:cs="Arial" w:eastAsia="Arial" w:hAnsi="Arial"/>
          <w:sz w:val="17"/>
          <w:szCs w:val="17"/>
          <w:color w:val="auto"/>
        </w:rPr>
        <w:t>The Financial Accounting Standards Board (“FASB”) issued authoritative guidance for fair value measurements in September 2006, which defines fair value, establishes a framework for measuring fair value, and expands disclosures assets and liabilities measured at fair value in financial statements. This guidance is set forth in FASB Accounting Standards Codification 820 (ASC 820). We adopted the provisions of ASC 820 as of January 1, 2008, for our financial instruments. Although the adoption of ASC 820 did not materially impact our financial condition, results of operations, or cash flow, we are now required to provide additional disclosures as part of our financial statements.</w:t>
      </w:r>
    </w:p>
    <w:p>
      <w:pPr>
        <w:spacing w:after="0" w:line="200"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4"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June 30, 2010 or December 31, 2009.</w:t>
      </w:r>
    </w:p>
    <w:p>
      <w:pPr>
        <w:spacing w:after="0" w:line="197"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Our cash and cash equivalents, including money market securities, were $39.1 million and $39.7 million as of June 30, 2010 and December 31, 2009, respectively. We classified our cash and cash equivalents within Level 1 of the fair value hierarchy because they are valued using quoted market prices.</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486" w:right="239" w:bottom="1440" w:gutter="0" w:footer="0" w:header="0"/>
        </w:sectPr>
      </w:pPr>
    </w:p>
    <w:bookmarkStart w:id="6" w:name="page7"/>
    <w:bookmarkEnd w:id="6"/>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Inventories are stated at the lower of cost or net realizable value with cost being determined by the first-in, first-out (“FIFO”) 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8"/>
                <w:szCs w:val="18"/>
                <w:color w:val="auto"/>
              </w:rPr>
            </w:pPr>
          </w:p>
        </w:tc>
      </w:tr>
      <w:tr>
        <w:trPr>
          <w:trHeight w:val="241"/>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1,334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1,112</w:t>
            </w:r>
          </w:p>
        </w:tc>
        <w:tc>
          <w:tcPr>
            <w:tcW w:w="20" w:type="dxa"/>
            <w:vAlign w:val="bottom"/>
          </w:tcPr>
          <w:p>
            <w:pPr>
              <w:spacing w:after="0"/>
              <w:rPr>
                <w:sz w:val="17"/>
                <w:szCs w:val="17"/>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r>
      <w:tr>
        <w:trPr>
          <w:trHeight w:val="21"/>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Computation of Earnings per Share</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per share is calculated as follows (in thousands, except per share data):</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(148)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(3,718)</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20,666</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21,974</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19,927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21,974</w:t>
            </w:r>
          </w:p>
        </w:tc>
        <w:tc>
          <w:tcPr>
            <w:tcW w:w="60" w:type="dxa"/>
            <w:vAlign w:val="bottom"/>
          </w:tcPr>
          <w:p>
            <w:pPr>
              <w:spacing w:after="0"/>
              <w:rPr>
                <w:sz w:val="18"/>
                <w:szCs w:val="18"/>
                <w:color w:val="auto"/>
              </w:rPr>
            </w:pPr>
          </w:p>
        </w:tc>
      </w:tr>
      <w:tr>
        <w:trPr>
          <w:trHeight w:val="21"/>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(0.17)</w:t>
            </w:r>
          </w:p>
        </w:tc>
      </w:tr>
    </w:tbl>
    <w:p>
      <w:pPr>
        <w:spacing w:after="0" w:line="200" w:lineRule="exact"/>
        <w:rPr>
          <w:sz w:val="20"/>
          <w:szCs w:val="20"/>
          <w:color w:val="auto"/>
        </w:rPr>
      </w:pPr>
    </w:p>
    <w:p>
      <w:pPr>
        <w:spacing w:after="0" w:line="27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the three month periods ended June 30, 2010 and 2009 potential common stock equivalents of 5,843 and 6,986, respectively, were not included in the per share calculation for diluted EPS, because we had a net loss and the effect of their inclusion would be anti-dilutive. For the six month period ended June 30, 2010 and 2009 potential common stock equivalents of 7,345 and 3,377, respectively, were not included in the per share calculation for diluted EPS, because we had net losses and the effect of their inclusion would be anti-dilutive.</w:t>
      </w:r>
    </w:p>
    <w:p>
      <w:pPr>
        <w:spacing w:after="0" w:line="19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For the three month periods ended June 30, 2010 and 2009, options to purchase 5,046,766 and 7,564,743 shares of common stock, respectively, were outstanding, but were not included in the computation of diluted EPS because the options’ exercise prices were greater than the average market price of the common stock and thus would be anti-dilutive. For the six month periods ended June 30, 2010 and 2009, options to purchase 5,046,766 and 7,564,743 shares of common stock, respectively, were outstanding, but were not included in the computation of diluted EPS because the options’ exercise prices were greater than the average market price of the common stock and thus would be anti-dilutive.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7" w:name="page8"/>
    <w:bookmarkEnd w:id="7"/>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presents stock-based employee compensation expenses included in our unaudited consolidated statements of operations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right"/>
              <w:ind w:right="117"/>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contract revenue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We estimate the fair value of stock options using the Black-Scholes valuation model.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 expected term, and our expected annual dividend yield. The Company believes that the valuation technique and the approach utilized to develop the underlying assumptions are appropriate in calculating the fair values of the Company’s stock options granted in the three and six month periods ended June 30, 2009. No options were granted in the three and six month periods ended June 3 0, 2010. Estimates of fair value are not intended to predict actual future events or the value ultimately realized by persons who receive equity awards.</w:t>
      </w:r>
    </w:p>
    <w:p>
      <w:pPr>
        <w:spacing w:after="0" w:line="20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w:t>
      </w:r>
    </w:p>
    <w:p>
      <w:pPr>
        <w:spacing w:after="0" w:line="17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When the program ended on January 12, 2010, eligible employees had exchanged 820,481 stock options for 178,314 shares of common stock. Participating employees were allowed to surrender a portion of their common stock in return for the Company paying withholding taxes related to their stock grants. As a result of this provision, employees surrendered 60,659 shares of common stock and the Company paid approximately $161,000 of withholding taxes on their behalf. After the common stock share surrender, 117,655 net shares of common stock were issued to participating employees.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90" w:right="239" w:bottom="1440" w:gutter="0" w:footer="0" w:header="0"/>
        </w:sectPr>
      </w:pPr>
    </w:p>
    <w:bookmarkStart w:id="8" w:name="page9"/>
    <w:bookmarkEnd w:id="8"/>
    <w:p>
      <w:pPr>
        <w:ind w:left="660"/>
        <w:spacing w:after="0" w:line="308" w:lineRule="auto"/>
        <w:rPr>
          <w:sz w:val="20"/>
          <w:szCs w:val="20"/>
          <w:color w:val="auto"/>
        </w:rPr>
      </w:pPr>
      <w:r>
        <w:rPr>
          <w:rFonts w:ascii="Arial" w:cs="Arial" w:eastAsia="Arial" w:hAnsi="Arial"/>
          <w:sz w:val="17"/>
          <w:szCs w:val="17"/>
          <w:color w:val="auto"/>
        </w:rPr>
        <w:t>A portion of the 820,481 stock options that were exchanged were not fully vested as of the exchange date. We expensed approximately $102,000 of unamortized stock-based compensation related to such unvested stock options in the six months ended June 30, 2010.</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manage the business as one segment and conduct our operations in the United States.</w:t>
      </w:r>
    </w:p>
    <w:p>
      <w:pPr>
        <w:spacing w:after="0" w:line="252"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sell our products and technology to domestic and international customers. Revenues were generated from the following geographic regions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35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2,959</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6,411</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60" w:type="dxa"/>
            <w:vAlign w:val="bottom"/>
          </w:tcPr>
          <w:p>
            <w:pPr>
              <w:ind w:left="460"/>
              <w:spacing w:after="0"/>
              <w:rPr>
                <w:sz w:val="20"/>
                <w:szCs w:val="20"/>
                <w:color w:val="auto"/>
              </w:rPr>
            </w:pPr>
            <w:r>
              <w:rPr>
                <w:rFonts w:ascii="Arial" w:cs="Arial" w:eastAsia="Arial" w:hAnsi="Arial"/>
                <w:sz w:val="18"/>
                <w:szCs w:val="18"/>
                <w:color w:val="auto"/>
              </w:rPr>
              <w:t>Germany</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560" w:type="dxa"/>
            <w:vAlign w:val="bottom"/>
          </w:tcPr>
          <w:p>
            <w:pPr>
              <w:ind w:left="460"/>
              <w:spacing w:after="0"/>
              <w:rPr>
                <w:sz w:val="20"/>
                <w:szCs w:val="20"/>
                <w:color w:val="auto"/>
              </w:rPr>
            </w:pPr>
            <w:r>
              <w:rPr>
                <w:rFonts w:ascii="Arial" w:cs="Arial" w:eastAsia="Arial" w:hAnsi="Arial"/>
                <w:sz w:val="18"/>
                <w:szCs w:val="18"/>
                <w:color w:val="auto"/>
              </w:rPr>
              <w:t>Rest of World</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rPr>
                <w:sz w:val="20"/>
                <w:szCs w:val="20"/>
                <w:color w:val="auto"/>
              </w:rPr>
            </w:pPr>
            <w:r>
              <w:rPr>
                <w:rFonts w:ascii="Arial" w:cs="Arial" w:eastAsia="Arial" w:hAnsi="Arial"/>
                <w:sz w:val="18"/>
                <w:szCs w:val="18"/>
                <w:color w:val="auto"/>
              </w:rPr>
              <w:t>G)</w:t>
            </w:r>
          </w:p>
        </w:tc>
        <w:tc>
          <w:tcPr>
            <w:tcW w:w="35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Income Taxes</w:t>
            </w: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40" w:type="dxa"/>
            <w:vAlign w:val="bottom"/>
            <w:vMerge w:val="continue"/>
          </w:tcPr>
          <w:p>
            <w:pPr>
              <w:spacing w:after="0"/>
              <w:rPr>
                <w:sz w:val="24"/>
                <w:szCs w:val="24"/>
                <w:color w:val="auto"/>
              </w:rPr>
            </w:pPr>
          </w:p>
        </w:tc>
        <w:tc>
          <w:tcPr>
            <w:tcW w:w="356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As of December 31, 2009, we had federal net operating loss (“NOLs”) and research and experimentation credit carryforwards of 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198"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51" w:lineRule="exact"/>
        <w:rPr>
          <w:sz w:val="20"/>
          <w:szCs w:val="20"/>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151"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 January 2010, the Financial Accounting Standards Board (“FASB”) issued Accounting Standards Update (“ASU”) 2010-06, “Improving Disclosures about Fair Value Measurements”.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We adopted the provisions of the standard on January 1, 2010, which did not have a material impact on our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sectPr>
      </w:pPr>
    </w:p>
    <w:bookmarkStart w:id="9" w:name="page10"/>
    <w:bookmarkEnd w:id="9"/>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March 5, 2009, we announced a modified Dutch auction self-tender offer to purchase up to 3,500,000 shares, or approximately 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w:t>
      </w:r>
    </w:p>
    <w:p>
      <w:pPr>
        <w:spacing w:after="0" w:line="21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tender offer closed on April 17, 2009, and on April 23, 2009 we repurchased 3,500,252 shares at $2.50 per share for a total cost of $9.0 million, including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9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 09,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Summary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historically organized ourselves as one segment with three product lines. Our product lines have included: i) DSL test and diagnostics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ii) biometrics products, and iii) licensing products.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test and diagnostics products consist of DSL hardware and software products that are used by telephone companies to improve the quality of their DSL service offerings. Our test and diagnostics products are typically sold to OEMs that incorporate our products into their products. Our OEM customers sell their equipment and software products to telephone companies. We also market our test and diagnostics software directly to telephone companies.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biometrics products consist of software and services used in biometric systems. Biometric systems are used by governments and enterprises to verify the identification of people. Biometrics systems are used in applications such as border control, secure credentialing, and background checks. We typically sell our biometrics software and services to OEMs and system integrators that incorporate our products into their biometrics hardware and software systems. We also sell a modest amount of medical imaging software that is included in our biometrics product line revenue.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licensing products have consisted of: i) DSL technology products, ii) home networking technology products, and iii) patents related to DSL, home networking and other technologies. Our technology products have been licensed to semiconductor companies that sell chipsets that incorporate our technology. Our patents are sold or licensed to third parties interested in acquiring such patent rights.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13, 2009, we completed a transaction in which we sold substantially all of the assets associated with our licensing product line to Lantiq Deutschland GmbH (“Lantiq”) for $6.75 million. Lantiq is a fabless semiconductor company that was spun out of Infineon Technologies AG (“Infineon”), our largest DSL licensing customer at that time. The sale included: i) our DSL and home networking technology assets; ii) certain patents and patent applications related to those technology assets; iii) a group of 41 engineers; and iv) lab and computer equipment used by the transferred engineers.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86"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As a result of the Lantiq transaction, we will no longer derive DSL contract revenue from Infineon or Lantiq. Over the past several years, contract revenue from Infineon has ranged from $0.5 million to $1.0 million per quarter. We amended and restated the existing license agreement between us and Infineon to provide Lantiq (as successor to Infineon) certain non-exclusive licenses of our patent rights, and to continue Lantiq’s royalty obligations to Aware. We also expect to continue to derive contract revenue for engineering support and royalties per our existing agreements with Ikanos Communications, Inc. (“Ikanos”). We will not be pursuing new silicon intellectual property licensing customers for DSL or home networking applications for the foreseeable future. In addition, Aware sublea sed certain office and lab space to Lantiq at its main facilities in Bedford, Massachusetts. In the first and second quarters of 2010, engineering expenses associated with our licensing product line decreased by approximately $1.9 million per quarter, compared to the corresponding periods in 2009 as a result of the transfer of 41 engineers to Lantiq. We expect that quarterly engineering expenses in the third quarter of 2010 will decrease by $1.7 million to $2.0 million compared to the corresponding period in 2009 as a result of the employee transfer.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sale of our licensing product line to Lantiq in November 2009, we have operated as one segment with two principal product lines: i) biometrics products; and ii) DSL test and diagnostics products. We expect that the Lantiq transaction will have a minimal impact on the future financial results of our biometrics and DSL test and diagnostics product lines. As it relates to our DSL test business, Aware and Lantiq will cooperate with one another with respect to embedded wireline diagnostics technology and products.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loss in accordance with generally accepted accounting principles (“GAAP”) for the three months ended June 30, 2010 was $148,000, or minus $0.01 per share, which compares to a GAAP net loss of $1.6 million, or minus $0.08 per share, for the three months ended June 30, 2009. Our GAAP net loss for the six months ended June 30, 2010 was $126,000, or minus $0.01 per share, which compares to a GAAP net loss of $3.7 million, or minus $0.17 per share, for the six months ended June 30, 2009.</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Readers of this report should keep in mind that our financial results for the three and six month periods ended June 30, 2009 included the revenue and expense impact of the licensing product line that was sold to Lantiq in November 2009, whereas results for the three and six month periods ended June 30, 2010 no longer included such revenue and expenses. The royalty obligations of Lantiq and Ikanos were not affected by the Lantiq transaction and therefore royalty revenue is included in all three and six month periods ended June 30, 2010 and 2009.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non-GAAP information internally to evaluate its operating performance and believes these non-GAAP measures are useful to investors as they provide additional insight into the underlying operating results. Our non-GAAP net income (loss) excludes the effect of stock-based compensation expense.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for the three months ended June 30, 2010, excluding the effect of $203,000 of stock-based compensation, was $55,000, or $0.00 per diluted share. We had a non-GAAP net loss for the three months ended June 30, 2009, excluding the effect of $409,000 of stock-based compensation, of $1.2 million, or minus $0.06 per diluted share.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for the six months ended June 30, 2010, excluding the effect of $548,000 of stock-based compensation, was $422,000, or $0.02 per diluted share. We had a non-GAAP net loss for the six months ended June 30, 2009, excluding the effect of $800,000 of stock-based compensation, of $2.9 million, or minus $0.13 per diluted share.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reconciliation of GAAP to non-GAAP results is set forth in the table below (in thousands, except for per share amounts):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GAAP net loss</w:t>
            </w:r>
          </w:p>
        </w:tc>
        <w:tc>
          <w:tcPr>
            <w:tcW w:w="20" w:type="dxa"/>
            <w:vAlign w:val="bottom"/>
          </w:tcPr>
          <w:p>
            <w:pPr>
              <w:spacing w:after="0"/>
              <w:rPr>
                <w:sz w:val="17"/>
                <w:szCs w:val="17"/>
                <w:color w:val="auto"/>
              </w:rPr>
            </w:pPr>
          </w:p>
        </w:tc>
        <w:tc>
          <w:tcPr>
            <w:tcW w:w="760" w:type="dxa"/>
            <w:vAlign w:val="bottom"/>
          </w:tcPr>
          <w:p>
            <w:pPr>
              <w:jc w:val="right"/>
              <w:ind w:right="59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0"/>
              </w:rPr>
              <w:t>(148)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(1,586)</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(3,718)</w:t>
            </w:r>
          </w:p>
        </w:tc>
        <w:tc>
          <w:tcPr>
            <w:tcW w:w="60" w:type="dxa"/>
            <w:vAlign w:val="bottom"/>
          </w:tcPr>
          <w:p>
            <w:pPr>
              <w:spacing w:after="0"/>
              <w:rPr>
                <w:sz w:val="17"/>
                <w:szCs w:val="17"/>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60" w:type="dxa"/>
            <w:vAlign w:val="bottom"/>
          </w:tcPr>
          <w:p>
            <w:pPr>
              <w:spacing w:after="0"/>
              <w:rPr>
                <w:sz w:val="18"/>
                <w:szCs w:val="18"/>
                <w:color w:val="auto"/>
              </w:rPr>
            </w:pPr>
          </w:p>
        </w:tc>
      </w:tr>
      <w:tr>
        <w:trPr>
          <w:trHeight w:val="21"/>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GAAP net loss per share</w:t>
            </w:r>
          </w:p>
        </w:tc>
        <w:tc>
          <w:tcPr>
            <w:tcW w:w="20" w:type="dxa"/>
            <w:vAlign w:val="bottom"/>
          </w:tcPr>
          <w:p>
            <w:pPr>
              <w:spacing w:after="0"/>
              <w:rPr>
                <w:sz w:val="17"/>
                <w:szCs w:val="17"/>
                <w:color w:val="auto"/>
              </w:rPr>
            </w:pPr>
          </w:p>
        </w:tc>
        <w:tc>
          <w:tcPr>
            <w:tcW w:w="74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w w:val="80"/>
              </w:rPr>
              <w:t>(0.01)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w w:val="80"/>
              </w:rPr>
              <w:t>(0.08)</w:t>
            </w:r>
          </w:p>
        </w:tc>
        <w:tc>
          <w:tcPr>
            <w:tcW w:w="2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(0.17)</w:t>
            </w:r>
          </w:p>
        </w:tc>
        <w:tc>
          <w:tcPr>
            <w:tcW w:w="60" w:type="dxa"/>
            <w:vAlign w:val="bottom"/>
          </w:tcPr>
          <w:p>
            <w:pPr>
              <w:spacing w:after="0"/>
              <w:rPr>
                <w:sz w:val="17"/>
                <w:szCs w:val="17"/>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Non-GAAP net income (loss) per share</w:t>
            </w: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(0.06)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r>
      <w:tr>
        <w:trPr>
          <w:trHeight w:val="21"/>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diagnostics modules. Software products consist of software products, including maintenance contracts, for biometric, medical imaging and digital imaging applications, as well as DSL test and diagnostics software.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sales increased 2% from $3.85 million in the second quarter of 2009 to $3.91 million in the current year quarter. As a percentage of total revenue, product sales increased from 67% in the second quarter of 2009 to 79% in the current year quarter. The slight dollar increase in product sales was primarily due to a $0.4 million increase in revenue from the sale of biometrics software, which was mostly offset by lower revenue from the sale of test and diagnostics hardware and software. The $0.4 million increase in revenue from the sale of biometrics software was primarily due to improving economic conditions in the current quarter, which led to increased customer demand. The decrease in revenue from the sale of test and diagnostics hardware and software was primarily due to lower sales to a customer that purch ases our hardware and software products for DSL test head solutions.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2010, product sales increased 28% from $6.7 million in 2009 to $8.6 million in 2010. As a percentage of total revenue, product sales increased from 65% in the first six months of 2009 to 81% in the corresponding period of 2010. The dollar increase in product sales was primarily due to a $1.4 million increase in revenue from the sale of biometrics software, a $0.8 million increase in revenue from the sale of test and diagnostics hardware, which were partially offset by a $0.3 million decrease in revenue from test and diagnostics software. The $1.4 million increase in revenue from the sale of biometrics software was primarily due to improving economic conditions, which led to increased customer demand. The $0.8 million increase in revenue from the sale of test and diagnostic products was mainly attributa ble to a large hardware sale to an OEM customer that is deploying test equipment into a major service provider.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Lantiq transaction to materially affect future product sales.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9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Contract Revenue. </w:t>
      </w:r>
      <w:r>
        <w:rPr>
          <w:rFonts w:ascii="Arial" w:cs="Arial" w:eastAsia="Arial" w:hAnsi="Arial"/>
          <w:sz w:val="18"/>
          <w:szCs w:val="18"/>
          <w:color w:val="auto"/>
        </w:rPr>
        <w:t>Contract revenue consists of patent, license and engineering service fees that we receive under agreements relating to the sale or license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Aware’s patents, DSL technology, DSL test and diagnostic technology, and biometrics technology.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revenue decreased 76% from $1.4 million in the second quarter of 2009 to $0.3 million in the current year quarter. As a percentage of total revenue, contract revenue decreased from 25% in the second quarter of 2009 to 7%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2010, contract revenue decreased 80% from $2.7 million in 2009 to $0.6 million in 2010. As a percentage of total revenue, contract revenue decreased from 26% in the first six months of 2009 to 5% in the corresponding period of 2010.</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and six month periods, the dollar decrease was primarily due to lower contract revenue from DSL technology contracts, and, to a lesser degree, from lower contract revenue from biometrics professional services contracts. Contract revenue from DSL technology contracts decreased by $0.9 million and $1.6 million for the three and six month periods. The decrease in contract revenue from DSL technology contracts in both periods was attributable to the sale of our licensing product line to Lantiq in November 2009. Contract revenue from biometrics professional services contracts decreased by $0.2 million and $0.6 million for the three and six month periods. The decrease in contract revenue from biometrics professional services contracts in both periods was primarily due to the completion of a significant customer proje ct during the first half of 2009.</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that any contract revenue from DSL technology contracts will be minimal in future periods as a result of the sale of our licensing product line to Lantiq. Moreover, we will not be pursuing new silicon IP licensing customers for DSL or home networking applications in the foreseeable future. Other potential sources of future contract revenue include revenue from i) biometrics professional services contracts; ii) DSL test and diagnostic professional services contracts and 3) sales and/or licenses of patents. Although there were no patent sales in 2009 or the first half of 2010, we intend to continue to sell and/or license additional patents in the future, subject to customer demand and favorable terms and conditions.</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Royalties. </w:t>
      </w:r>
      <w:r>
        <w:rPr>
          <w:rFonts w:ascii="Arial" w:cs="Arial" w:eastAsia="Arial" w:hAnsi="Arial"/>
          <w:sz w:val="17"/>
          <w:szCs w:val="17"/>
          <w:color w:val="auto"/>
        </w:rPr>
        <w:t>Royalties consist of royalty payments that we receive under agreements with our customers. We receive royalties from customers for rights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Aware technology and/or patents, typically associated with the incorporation of Aware technology and/or patents in customer chipsets.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increased 52% from $0.5 million in the second quarter of 2009 to $0.7 million in the current year quarter. As a percentage of total revenue, royalties increased from 8% in the second quarter of 2009 to 14%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2010, royalties increased 55% from $0.9 million in 2009 to $1.5 million in 2010. As a percentage of total revenue, royalties increased from 9% in the first six months of 2009 to 14% in the corresponding period of 2010.</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and six month periods, most of the dollar increase in royalties was due to higher ADSL royalties reported to us by one of our licensees. We are unable to predict whether the increased royalties reported by this licensee in the first six months of 2010 will trend upward or downward in future quarters.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Our royalty revenue currently comes predominantly from ADSL chipset sales by Ikanos and ADSL and VDSL chipset sales by Lantiq (formerly Infineon). The Lantiq transaction will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Also, as a result of the Lantiq transaction, we will not be pursuing new silicon intellectual property licensing customers for DSL or home networking applications in the foreseeable future that might lead to royalties from new customers.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product sales decreased 19% from $1.0 million in the second quarter of 2009 to $0.8 million in the current year quarter. As a percentage of product sales, cost of product sales decreased from 27% in the second quarter of 2009 to 21% in the current year quarter, which means that product gross margins increased from 73% to 79%. The cost of product sales dollar decrease was primarily due to lower sales of test and diagnostics hardware products this quarter. The increase in product gross margins was primarily due to a greater proportion of software in product sales in the current quarter versus the year ago quarter.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2010, cost of product sales increased 21% from $1.6 million in 2009 to $1.9 million in 2010. As a percentage of product sales, cost of product sales decreased from 23% in the first six months of 2009 to 22% in the corresponding period of 2010, which means that product gross margins increased from 77% to 78%. The cost of product sales dollar increase was primarily due to higher sales of test and diagnostics hardware products in the six month period this year. The slight increase in product gross margins was primarily due to a more profitable mix of hardware products in the 2010 six month period versus the corresponding six month period last year.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Cost of Contract Revenue. </w:t>
      </w:r>
      <w:r>
        <w:rPr>
          <w:rFonts w:ascii="Arial" w:cs="Arial" w:eastAsia="Arial" w:hAnsi="Arial"/>
          <w:sz w:val="18"/>
          <w:szCs w:val="18"/>
          <w:color w:val="auto"/>
        </w:rPr>
        <w:t>Cost of contract revenue consists primarily of compensation costs for engineers and expenses for consultants, recruiting,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depreciation and facilities associated with customer engineering services projects. Cost of contract revenue also includes direct expenses for third party contractors and consultants for biometrics professional services contracts.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contract revenue decreased 92% from $0.9 million in the second quarter of 2009 to $0.1 million in the current year quarter. Cost of contract revenue as a percentage of contract revenue, was 73% in the second quarter of 2009 and 21% in the current quarter, which means that gross margins on contract revenue increased from 37% to 79%.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2010, cost of contract revenue decreased 92% from $1.8 million in the first six months of 2009 to $0.1 million in the corresponding period of 2010. Cost of contract revenue as a percentage of contract revenue increased from 67% in the first six months of 2009 to 26% in the corresponding period of 2010, which resulted in gross margins on contract revenue increasing from 33% to 74%.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0" w:right="2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For the three and six month periods, the dollar decrease in cost of contract revenue was primarily due to lower revenue from DSL technology contracts and, to a lesser degree, from lower revenue from biometrics professional services contracts. The increase in gross margins on contract revenue in the three and six month periods in 2010 is primarily due to a greater proportion of biometrics professional services contracts in contract revenue in 2010 due to the sale of our licensing assets to Lantiq. Biometrics professional services possess higher gross margins than DSL technology contract revenue.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primarily of compensation costs for engineers and expenses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recruiting, supplies, equipment, depreciation and facilities related to engineering projects to improve our communications, test, biometrics and imaging technology, as well as our software and hardware products.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 decreased 32% from $3.1 million in the second quarter of 2009 to $2.1 million in the current year quarter. As a percentage of total revenue, research and development expense decreased from 53% in the second quarter of 2009 to 42% in the current year quarter.</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decreased 33% from $6.2 million in the first six months of 2009 to $4.1 million in the first six months of 2010. As a percentage of total revenue, research and development expense decreased from 60% in the first six months of 2009 to 39% in the corresponding period of 2010.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the dollar decrease in research and development expense was primarily due to a reduction of engineering expenses as a result of the sale of our licensing product line to Lantiq.</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closing of the Lantiq transaction, our future research and development activities will be focused on developing biometrics and imaging software, and developing test and diagnostics hardware and software. We will also continue to expand our patent portfolio.</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consists primarily of compensation costs for sales and marketing personnel,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and promotion, recruiting, and facilities expense.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 decreased 11% from $1.2 million in the second quarter of 2009 to $1.1 million in the current year quarter. As a percentage of total revenue, sales and marketing expense was 21% in the second quarters of 2009 and 2010.</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June 30, 2010, sales and marketing expense decreased 6% from $2.3 million in 2009 to $2.1 million in 2010. As a percentage of total revenue, sales and marketing expense decreased from 22% in the first six months of 2009 to 20% in the corresponding period of 2010.</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the dollar decrease in sales and marketing expense was primarily due to lower headcount in our sales and marketing organization as well as lower stock-based compensation expenses. Lower spending attributable to these factors was partially offset by higher spending on advertising and promotion activities and travel expenses.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Since the Lantiq transaction did not involve any of our sales and marketing personnel, the transaction had a minimal impact on 2010 expenses and we expect that it will have a minimal impact on future sales and marketing expense.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General and administrative expense consists primarily of compensation costs for administrative personnel,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bad debt, audit, legal, stock exchange and insurance expenses.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and administrative expense increased 16% from $1.2 million in the second quarter of 2009 to $1.4 million in the current year quarter. As a percentage of total revenue, general and administrative expense increased from 21% in the second quarter of 2009 to 28% in the current year quarter.</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2010, general and administrative expense increased 16% from $2.4 million in 2009 to $2.8 million in 2010. As a percentage of total revenue, general and administrative expense increased from 23% in the first six months of 2009 to 27% in the corresponding period of 2010.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the dollar increase in general and administrative expense was mainly attributable to higher spending on legal fees and director fees. Higher spending attributable to these factors was partially offset by lower stock-based compensation expenses.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administrative personnel, the transaction had a minimal impact on 2010 expenses and we expect that it will have a minimal impact on future general and administrative expense.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was $325,000 in the second quarter of 2010. This amount represents proceeds from a legal settlement with a former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65% from $61,000 in the second quarter of 2009 to $21,000 in the current year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2010, interest income decreased 79%, from $186,000 in 2009 to $39,000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 periods, the dollar decrease was primarily due to a substantial decline in money market interest rates.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made no provision for income taxes in the first six months of 2010 and 2009 due to net losses incurred, and the uncertainty of the timing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profitability in future periods, except for $1,000 and $4,000 of state excise tax paid in the first six months of 2010 and 2009, respectively. In 2002, we determined that due to our continuing operating losses as well as the uncertainty of the timing of profitability in future periods, we should fully reserve our deferred tax assets. As of June 30, 2010, our deferred tax assets continue to be fully reserved. We will continue to evaluate, on a quarterly basis, the positive and negative evidence affecting the realizability of our deferred tax assets.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90"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As of December 31, 2009, we had federal net operating loss (“NOLs”) and research and experimentation credit carryforwards of approximately $47.6 million and $13.4 million respectively, which may be available to offset future federal income tax liabilities and expire at various dates from 2010 through 2029. In addition, at December 31, 2009, we had approximately $10.3 million and $7.1 million of state net operating losses and state research and development and investment tax carryforwards, respectively, which expire at various dates from 2010 through 2024.</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an analysis that we performed under Internal Revenue Code Section 382 on our NOLs generated for the period 1997 through 2009, we have not experienced a change in ownership as defined by Section 382, and, therefore, the NOLs are not currently under any Section 382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2010, we had cash and cash equivalents of $39.1 million, which represented a decrease of $540,000 from December 31, 2009. The decrease in cash was primarily due to: i) $154,000 of cash used by operations; ii) $67,000 of cash used to purchase capital equipment; iii) $60,000 of cash used to purchase other assets; iv) $161,000 of cash used to pay withholding taxes for employees who surrendered shares of common stock in connection with an employee option exchange program; and v) $100,000 of transaction expenses paid in the first quarter of 2010 that related to the 2009 sale of assets to Lantiq.</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used $154,000 of cash in operations in the first six months of 2010. This cash usage was primarily the result of a net loss of $126,000 and $836,000 of cash used to fund working capital items, which was partially offset by non-cash items related to depreciation and amortization of $260,000, and stock based compensation expense of $548,000. The net loss of $126,000 includes $225,000 of proceeds from a legal settlement with a former customer.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Capital spending was primarily related to the purchase of computer hardware and laboratory equipment used principally in engineering activities.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2010, we completed an employee option exchange program in which we allowed participating employees to surrender a portion of their shares of common stock in return for the Company paying withholding taxes related to their stock grants. As a result of this provision, employees surrendered 60,659 shares of common stock and we paid approximately $161,000 of withholding taxes on their behalf.</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9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1020" w:hanging="36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1140" w:hanging="358"/>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w:t>
      </w:r>
    </w:p>
    <w:p>
      <w:pPr>
        <w:spacing w:after="0" w:line="9" w:lineRule="exact"/>
        <w:rPr>
          <w:rFonts w:ascii="Arial" w:cs="Arial" w:eastAsia="Arial" w:hAnsi="Arial"/>
          <w:sz w:val="18"/>
          <w:szCs w:val="18"/>
          <w:color w:val="auto"/>
        </w:rPr>
      </w:pPr>
    </w:p>
    <w:p>
      <w:pPr>
        <w:ind w:left="1140" w:hanging="358"/>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2010, our cash and cash equivalents of $39.1 million were invested in money market accounts. Due to the nature and short duration of these financial instruments, we do not expect that an increase in interest rates would result in any material loss to our investment portfolio. As of June 30, 2010, we had no investments that matured in more than twelve months. We do not use derivative financial instruments for speculative or trading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chief executive officer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2009,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86" w:right="239" w:bottom="1440" w:gutter="0" w:footer="0" w:header="0"/>
        </w:sectPr>
      </w:pPr>
    </w:p>
    <w:bookmarkStart w:id="20" w:name="page21"/>
    <w:bookmarkEnd w:id="20"/>
    <w:p>
      <w:pPr>
        <w:jc w:val="center"/>
        <w:ind w:right="-139"/>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340" w:type="dxa"/>
            <w:vAlign w:val="bottom"/>
            <w:gridSpan w:val="2"/>
          </w:tcPr>
          <w:p>
            <w:pPr>
              <w:ind w:left="2420"/>
              <w:spacing w:after="0"/>
              <w:rPr>
                <w:sz w:val="20"/>
                <w:szCs w:val="20"/>
                <w:color w:val="auto"/>
              </w:rPr>
            </w:pPr>
            <w:r>
              <w:rPr>
                <w:rFonts w:ascii="Arial" w:cs="Arial" w:eastAsia="Arial" w:hAnsi="Arial"/>
                <w:sz w:val="18"/>
                <w:szCs w:val="18"/>
                <w:b w:val="1"/>
                <w:bCs w:val="1"/>
                <w:color w:val="auto"/>
              </w:rPr>
              <w:t>AWARE, INC.</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Date: July 28, 2010</w:t>
            </w:r>
          </w:p>
        </w:tc>
        <w:tc>
          <w:tcPr>
            <w:tcW w:w="7340" w:type="dxa"/>
            <w:vAlign w:val="bottom"/>
            <w:gridSpan w:val="2"/>
          </w:tcPr>
          <w:p>
            <w:pPr>
              <w:ind w:left="2420"/>
              <w:spacing w:after="0"/>
              <w:rPr>
                <w:sz w:val="20"/>
                <w:szCs w:val="20"/>
                <w:color w:val="auto"/>
              </w:rPr>
            </w:pPr>
            <w:r>
              <w:rPr>
                <w:rFonts w:ascii="Arial" w:cs="Arial" w:eastAsia="Arial" w:hAnsi="Arial"/>
                <w:sz w:val="18"/>
                <w:szCs w:val="18"/>
                <w:color w:val="auto"/>
              </w:rPr>
              <w:t>By: /s/ Edmund C. Reiter</w:t>
            </w:r>
          </w:p>
        </w:tc>
      </w:tr>
      <w:tr>
        <w:trPr>
          <w:trHeight w:val="202"/>
        </w:trPr>
        <w:tc>
          <w:tcPr>
            <w:tcW w:w="3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Edmund C. Reiter, President &amp;</w:t>
            </w: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Date: July 28, 2010</w:t>
            </w:r>
          </w:p>
        </w:tc>
        <w:tc>
          <w:tcPr>
            <w:tcW w:w="7340" w:type="dxa"/>
            <w:vAlign w:val="bottom"/>
            <w:gridSpan w:val="2"/>
          </w:tcPr>
          <w:p>
            <w:pPr>
              <w:ind w:left="2420"/>
              <w:spacing w:after="0"/>
              <w:rPr>
                <w:sz w:val="20"/>
                <w:szCs w:val="20"/>
                <w:color w:val="auto"/>
              </w:rPr>
            </w:pPr>
            <w:r>
              <w:rPr>
                <w:rFonts w:ascii="Arial" w:cs="Arial" w:eastAsia="Arial" w:hAnsi="Arial"/>
                <w:sz w:val="18"/>
                <w:szCs w:val="18"/>
                <w:color w:val="auto"/>
              </w:rPr>
              <w:t>By: /s/ Richard P. Moberg</w:t>
            </w:r>
          </w:p>
        </w:tc>
      </w:tr>
      <w:tr>
        <w:trPr>
          <w:trHeight w:val="202"/>
        </w:trPr>
        <w:tc>
          <w:tcPr>
            <w:tcW w:w="3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P. Moberg, Chief Financial</w:t>
            </w:r>
          </w:p>
        </w:tc>
      </w:tr>
      <w:tr>
        <w:trPr>
          <w:trHeight w:val="216"/>
        </w:trPr>
        <w:tc>
          <w:tcPr>
            <w:tcW w:w="3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Officer (Principal Financial and</w:t>
            </w: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432"/>
        </w:trPr>
        <w:tc>
          <w:tcPr>
            <w:tcW w:w="3400" w:type="dxa"/>
            <w:vAlign w:val="bottom"/>
          </w:tcPr>
          <w:p>
            <w:pPr>
              <w:spacing w:after="0"/>
              <w:rPr>
                <w:sz w:val="24"/>
                <w:szCs w:val="24"/>
                <w:color w:val="auto"/>
              </w:rPr>
            </w:pPr>
          </w:p>
        </w:tc>
        <w:tc>
          <w:tcPr>
            <w:tcW w:w="274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4600" w:type="dxa"/>
            <w:vAlign w:val="bottom"/>
          </w:tcPr>
          <w:p>
            <w:pPr>
              <w:spacing w:after="0"/>
              <w:rPr>
                <w:sz w:val="24"/>
                <w:szCs w:val="24"/>
                <w:color w:val="auto"/>
              </w:rPr>
            </w:pPr>
          </w:p>
        </w:tc>
      </w:tr>
    </w:tbl>
    <w:p>
      <w:pPr>
        <w:sectPr>
          <w:pgSz w:w="11900" w:h="16838" w:orient="portrait"/>
          <w:cols w:equalWidth="0" w:num="1">
            <w:col w:w="11280"/>
          </w:cols>
          <w:pgMar w:left="240" w:top="486" w:right="3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Edmund C. Reiter, President and 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120" w:hanging="655"/>
        <w:spacing w:after="0" w:line="264"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960" w:right="320" w:hanging="655"/>
        <w:spacing w:after="0" w:line="312"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6"/>
          <w:szCs w:val="16"/>
          <w:color w:val="auto"/>
        </w:rPr>
        <w:t>/s/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Edmund C. Reiter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24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120" w:hanging="655"/>
        <w:spacing w:after="0" w:line="264"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960" w:right="320" w:hanging="655"/>
        <w:spacing w:after="0" w:line="312" w:lineRule="auto"/>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28, 2010</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900"/>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2010,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29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297"/>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C. Reiter</w:t>
            </w:r>
          </w:p>
        </w:tc>
        <w:tc>
          <w:tcPr>
            <w:tcW w:w="8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8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Date: July 28, 2010</w:t>
            </w:r>
          </w:p>
        </w:tc>
        <w:tc>
          <w:tcPr>
            <w:tcW w:w="8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 July 28, 2010</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w:t>
            </w:r>
          </w:p>
        </w:tc>
        <w:tc>
          <w:tcPr>
            <w:tcW w:w="6500" w:type="dxa"/>
            <w:vAlign w:val="bottom"/>
            <w:gridSpan w:val="2"/>
          </w:tcPr>
          <w:p>
            <w:pPr>
              <w:jc w:val="right"/>
              <w:ind w:right="3650"/>
              <w:spacing w:after="0"/>
              <w:rPr>
                <w:sz w:val="20"/>
                <w:szCs w:val="20"/>
                <w:color w:val="auto"/>
              </w:rPr>
            </w:pPr>
            <w:r>
              <w:rPr>
                <w:rFonts w:ascii="Arial" w:cs="Arial" w:eastAsia="Arial" w:hAnsi="Arial"/>
                <w:sz w:val="18"/>
                <w:szCs w:val="18"/>
                <w:color w:val="auto"/>
              </w:rPr>
              <w:t>&amp;# 160;</w:t>
            </w:r>
          </w:p>
        </w:tc>
      </w:tr>
    </w:tbl>
    <w:p>
      <w:pPr>
        <w:jc w:val="both"/>
        <w:ind w:right="20" w:firstLine="252"/>
        <w:spacing w:after="0" w:line="261"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1"/>
    </w:lvl>
  </w:abstractNum>
  <w:abstractNum w:abstractNumId="1">
    <w:nsid w:val="41B71EFB"/>
    <w:multiLevelType w:val="hybridMultilevel"/>
    <w:lvl w:ilvl="0">
      <w:lvlJc w:val="left"/>
      <w:lvlText w:val="%1)"/>
      <w:numFmt w:val="upperLetter"/>
      <w:start w:val="2"/>
    </w:lvl>
  </w:abstractNum>
  <w:abstractNum w:abstractNumId="2">
    <w:nsid w:val="79E2A9E3"/>
    <w:multiLevelType w:val="hybridMultilevel"/>
    <w:lvl w:ilvl="0">
      <w:lvlJc w:val="left"/>
      <w:lvlText w:val="%1)"/>
      <w:numFmt w:val="upperLetter"/>
      <w:start w:val="3"/>
    </w:lvl>
  </w:abstractNum>
  <w:abstractNum w:abstractNumId="3">
    <w:nsid w:val="7545E146"/>
    <w:multiLevelType w:val="hybridMultilevel"/>
    <w:lvl w:ilvl="0">
      <w:lvlJc w:val="left"/>
      <w:lvlText w:val="%1)"/>
      <w:numFmt w:val="upperLetter"/>
      <w:start w:val="4"/>
    </w:lvl>
  </w:abstractNum>
  <w:abstractNum w:abstractNumId="4">
    <w:nsid w:val="515F007C"/>
    <w:multiLevelType w:val="hybridMultilevel"/>
    <w:lvl w:ilvl="0">
      <w:lvlJc w:val="left"/>
      <w:lvlText w:val="%1)"/>
      <w:numFmt w:val="upperLetter"/>
      <w:start w:val="5"/>
    </w:lvl>
  </w:abstractNum>
  <w:abstractNum w:abstractNumId="5">
    <w:nsid w:val="5BD062C2"/>
    <w:multiLevelType w:val="hybridMultilevel"/>
    <w:lvl w:ilvl="0">
      <w:lvlJc w:val="left"/>
      <w:lvlText w:val="%1)"/>
      <w:numFmt w:val="upperLetter"/>
      <w:start w:val="6"/>
    </w:lvl>
  </w:abstractNum>
  <w:abstractNum w:abstractNumId="6">
    <w:nsid w:val="12200854"/>
    <w:multiLevelType w:val="hybridMultilevel"/>
    <w:lvl w:ilvl="0">
      <w:lvlJc w:val="left"/>
      <w:lvlText w:val="%1)"/>
      <w:numFmt w:val="upperLetter"/>
      <w:start w:val="8"/>
    </w:lvl>
  </w:abstractNum>
  <w:abstractNum w:abstractNumId="7">
    <w:nsid w:val="4DB127F8"/>
    <w:multiLevelType w:val="hybridMultilevel"/>
    <w:lvl w:ilvl="0">
      <w:lvlJc w:val="left"/>
      <w:lvlText w:val="%1)"/>
      <w:numFmt w:val="upperLetter"/>
      <w:start w:val="9"/>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2019-12-10T13:49:42Z</dcterms:created>
  <dcterms:modified xsi:type="dcterms:W3CDTF">2019-12-10T13:49:42Z</dcterms:modified>
</cp:coreProperties>
</file>