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2015</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000-21129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AWARE,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176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Massachusetts</w:t>
            </w:r>
          </w:p>
        </w:tc>
        <w:tc>
          <w:tcPr>
            <w:tcW w:w="20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04-2911026</w:t>
            </w:r>
          </w:p>
        </w:tc>
        <w:tc>
          <w:tcPr>
            <w:tcW w:w="700" w:type="dxa"/>
            <w:vAlign w:val="bottom"/>
          </w:tcPr>
          <w:p>
            <w:pPr>
              <w:spacing w:after="0"/>
              <w:rPr>
                <w:sz w:val="20"/>
                <w:szCs w:val="20"/>
                <w:color w:val="auto"/>
              </w:rPr>
            </w:pPr>
          </w:p>
        </w:tc>
      </w:tr>
      <w:tr>
        <w:trPr>
          <w:trHeight w:val="202"/>
        </w:trPr>
        <w:tc>
          <w:tcPr>
            <w:tcW w:w="660" w:type="dxa"/>
            <w:vAlign w:val="bottom"/>
          </w:tcPr>
          <w:p>
            <w:pPr>
              <w:ind w:left="20"/>
              <w:spacing w:after="0" w:line="201" w:lineRule="exact"/>
              <w:rPr>
                <w:sz w:val="20"/>
                <w:szCs w:val="20"/>
                <w:color w:val="auto"/>
              </w:rPr>
            </w:pPr>
            <w:r>
              <w:rPr>
                <w:rFonts w:ascii="Arial" w:cs="Arial" w:eastAsia="Arial" w:hAnsi="Arial"/>
                <w:sz w:val="18"/>
                <w:szCs w:val="18"/>
                <w:color w:val="auto"/>
                <w:w w:val="89"/>
              </w:rPr>
              <w:t>(State or</w:t>
            </w: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87"/>
              </w:rPr>
              <w:t>Other Jurisdiction</w:t>
            </w:r>
          </w:p>
        </w:tc>
        <w:tc>
          <w:tcPr>
            <w:tcW w:w="2040" w:type="dxa"/>
            <w:vAlign w:val="bottom"/>
          </w:tcPr>
          <w:p>
            <w:pPr>
              <w:ind w:left="120"/>
              <w:spacing w:after="0" w:line="201" w:lineRule="exact"/>
              <w:rPr>
                <w:sz w:val="20"/>
                <w:szCs w:val="20"/>
                <w:color w:val="auto"/>
              </w:rPr>
            </w:pPr>
            <w:r>
              <w:rPr>
                <w:rFonts w:ascii="Arial" w:cs="Arial" w:eastAsia="Arial" w:hAnsi="Arial"/>
                <w:sz w:val="18"/>
                <w:szCs w:val="18"/>
                <w:color w:val="auto"/>
              </w:rPr>
              <w:t>of</w:t>
            </w:r>
          </w:p>
        </w:tc>
        <w:tc>
          <w:tcPr>
            <w:tcW w:w="2420" w:type="dxa"/>
            <w:vAlign w:val="bottom"/>
          </w:tcPr>
          <w:p>
            <w:pPr>
              <w:ind w:left="1740"/>
              <w:spacing w:after="0" w:line="201" w:lineRule="exact"/>
              <w:rPr>
                <w:sz w:val="20"/>
                <w:szCs w:val="20"/>
                <w:color w:val="auto"/>
              </w:rPr>
            </w:pPr>
            <w:r>
              <w:rPr>
                <w:rFonts w:ascii="Arial" w:cs="Arial" w:eastAsia="Arial" w:hAnsi="Arial"/>
                <w:sz w:val="18"/>
                <w:szCs w:val="18"/>
                <w:color w:val="auto"/>
              </w:rPr>
              <w:t>(I.R.S.</w:t>
            </w:r>
          </w:p>
        </w:tc>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w w:val="86"/>
              </w:rPr>
              <w:t>Employer Identification No.)</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Incorporation or Organization)</w:t>
            </w:r>
          </w:p>
        </w:tc>
        <w:tc>
          <w:tcPr>
            <w:tcW w:w="2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198" w:lineRule="exact"/>
        <w:rPr>
          <w:sz w:val="24"/>
          <w:szCs w:val="24"/>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40"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(781) 276-4000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ind w:right="120"/>
        <w:spacing w:after="0" w:line="25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60"/>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 w:lineRule="exact"/>
        <w:rPr>
          <w:sz w:val="24"/>
          <w:szCs w:val="24"/>
          <w:color w:val="auto"/>
        </w:rPr>
      </w:pPr>
    </w:p>
    <w:p>
      <w:pPr>
        <w:spacing w:after="0" w:line="207" w:lineRule="exact"/>
        <w:tabs>
          <w:tab w:leader="none" w:pos="20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1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3"/>
          </w:tcPr>
          <w:p>
            <w:pPr>
              <w:spacing w:after="0"/>
              <w:rPr>
                <w:sz w:val="20"/>
                <w:szCs w:val="20"/>
                <w:color w:val="auto"/>
              </w:rPr>
            </w:pPr>
            <w:r>
              <w:rPr>
                <w:rFonts w:ascii="Arial" w:cs="Arial" w:eastAsia="Arial" w:hAnsi="Arial"/>
                <w:sz w:val="18"/>
                <w:szCs w:val="18"/>
                <w:color w:val="auto"/>
                <w:w w:val="92"/>
              </w:rPr>
              <w:t>Indicate the number of shares outstanding of the issuer’s common stock as of July 22, 2015:</w:t>
            </w:r>
          </w:p>
        </w:tc>
        <w:tc>
          <w:tcPr>
            <w:tcW w:w="24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39"/>
        </w:trPr>
        <w:tc>
          <w:tcPr>
            <w:tcW w:w="1340" w:type="dxa"/>
            <w:vAlign w:val="bottom"/>
          </w:tcPr>
          <w:p>
            <w:pPr>
              <w:spacing w:after="0"/>
              <w:rPr>
                <w:sz w:val="24"/>
                <w:szCs w:val="2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Class</w:t>
            </w:r>
          </w:p>
        </w:tc>
        <w:tc>
          <w:tcPr>
            <w:tcW w:w="4780" w:type="dxa"/>
            <w:vAlign w:val="bottom"/>
          </w:tcPr>
          <w:p>
            <w:pPr>
              <w:spacing w:after="0"/>
              <w:rPr>
                <w:sz w:val="24"/>
                <w:szCs w:val="24"/>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Number of Shares Outstanding</w:t>
            </w:r>
          </w:p>
        </w:tc>
        <w:tc>
          <w:tcPr>
            <w:tcW w:w="2220" w:type="dxa"/>
            <w:vAlign w:val="bottom"/>
          </w:tcPr>
          <w:p>
            <w:pPr>
              <w:spacing w:after="0"/>
              <w:rPr>
                <w:sz w:val="24"/>
                <w:szCs w:val="24"/>
                <w:color w:val="auto"/>
              </w:rPr>
            </w:pP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w w:val="89"/>
              </w:rPr>
              <w:t>Common Stock, par value $</w:t>
            </w:r>
          </w:p>
        </w:tc>
        <w:tc>
          <w:tcPr>
            <w:tcW w:w="4780" w:type="dxa"/>
            <w:vAlign w:val="bottom"/>
          </w:tcPr>
          <w:p>
            <w:pPr>
              <w:ind w:left="20"/>
              <w:spacing w:after="0"/>
              <w:rPr>
                <w:sz w:val="20"/>
                <w:szCs w:val="20"/>
                <w:color w:val="auto"/>
              </w:rPr>
            </w:pPr>
            <w:r>
              <w:rPr>
                <w:rFonts w:ascii="Arial" w:cs="Arial" w:eastAsia="Arial" w:hAnsi="Arial"/>
                <w:sz w:val="18"/>
                <w:szCs w:val="18"/>
                <w:color w:val="auto"/>
              </w:rPr>
              <w:t>0.01 per share</w:t>
            </w:r>
          </w:p>
        </w:tc>
        <w:tc>
          <w:tcPr>
            <w:tcW w:w="2420" w:type="dxa"/>
            <w:vAlign w:val="bottom"/>
          </w:tcPr>
          <w:p>
            <w:pPr>
              <w:ind w:left="340"/>
              <w:spacing w:after="0"/>
              <w:rPr>
                <w:sz w:val="20"/>
                <w:szCs w:val="20"/>
                <w:color w:val="auto"/>
              </w:rPr>
            </w:pPr>
            <w:r>
              <w:rPr>
                <w:rFonts w:ascii="Arial" w:cs="Arial" w:eastAsia="Arial" w:hAnsi="Arial"/>
                <w:sz w:val="18"/>
                <w:szCs w:val="18"/>
                <w:color w:val="auto"/>
              </w:rPr>
              <w:t>22,929,901 shares</w:t>
            </w:r>
          </w:p>
        </w:tc>
        <w:tc>
          <w:tcPr>
            <w:tcW w:w="2220" w:type="dxa"/>
            <w:vAlign w:val="bottom"/>
          </w:tcPr>
          <w:p>
            <w:pPr>
              <w:spacing w:after="0"/>
              <w:rPr>
                <w:sz w:val="20"/>
                <w:szCs w:val="20"/>
                <w:color w:val="auto"/>
              </w:rPr>
            </w:pPr>
          </w:p>
        </w:tc>
      </w:tr>
      <w:tr>
        <w:trPr>
          <w:trHeight w:val="77"/>
        </w:trPr>
        <w:tc>
          <w:tcPr>
            <w:tcW w:w="1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7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220" w:type="dxa"/>
            <w:vAlign w:val="bottom"/>
          </w:tcPr>
          <w:p>
            <w:pPr>
              <w:spacing w:after="0"/>
              <w:rPr>
                <w:sz w:val="6"/>
                <w:szCs w:val="6"/>
                <w:color w:val="auto"/>
              </w:rPr>
            </w:pPr>
          </w:p>
        </w:tc>
      </w:tr>
      <w:tr>
        <w:trPr>
          <w:trHeight w:val="71"/>
        </w:trPr>
        <w:tc>
          <w:tcPr>
            <w:tcW w:w="1340" w:type="dxa"/>
            <w:vAlign w:val="bottom"/>
            <w:shd w:val="clear" w:color="auto" w:fill="808080"/>
          </w:tcPr>
          <w:p>
            <w:pPr>
              <w:spacing w:after="0"/>
              <w:rPr>
                <w:sz w:val="6"/>
                <w:szCs w:val="6"/>
                <w:color w:val="auto"/>
              </w:rPr>
            </w:pPr>
          </w:p>
        </w:tc>
        <w:tc>
          <w:tcPr>
            <w:tcW w:w="660" w:type="dxa"/>
            <w:vAlign w:val="bottom"/>
            <w:shd w:val="clear" w:color="auto" w:fill="808080"/>
          </w:tcPr>
          <w:p>
            <w:pPr>
              <w:spacing w:after="0"/>
              <w:rPr>
                <w:sz w:val="6"/>
                <w:szCs w:val="6"/>
                <w:color w:val="auto"/>
              </w:rPr>
            </w:pPr>
          </w:p>
        </w:tc>
        <w:tc>
          <w:tcPr>
            <w:tcW w:w="4780" w:type="dxa"/>
            <w:vAlign w:val="bottom"/>
            <w:shd w:val="clear" w:color="auto" w:fill="808080"/>
          </w:tcPr>
          <w:p>
            <w:pPr>
              <w:spacing w:after="0"/>
              <w:rPr>
                <w:sz w:val="6"/>
                <w:szCs w:val="6"/>
                <w:color w:val="auto"/>
              </w:rPr>
            </w:pPr>
          </w:p>
        </w:tc>
        <w:tc>
          <w:tcPr>
            <w:tcW w:w="2420" w:type="dxa"/>
            <w:vAlign w:val="bottom"/>
            <w:shd w:val="clear" w:color="auto" w:fill="808080"/>
          </w:tcPr>
          <w:p>
            <w:pPr>
              <w:spacing w:after="0"/>
              <w:rPr>
                <w:sz w:val="6"/>
                <w:szCs w:val="6"/>
                <w:color w:val="auto"/>
              </w:rPr>
            </w:pPr>
          </w:p>
        </w:tc>
        <w:tc>
          <w:tcPr>
            <w:tcW w:w="2220" w:type="dxa"/>
            <w:vAlign w:val="bottom"/>
            <w:shd w:val="clear" w:color="auto" w:fill="808080"/>
          </w:tcPr>
          <w:p>
            <w:pPr>
              <w:spacing w:after="0"/>
              <w:rPr>
                <w:sz w:val="6"/>
                <w:szCs w:val="6"/>
                <w:color w:val="auto"/>
              </w:rPr>
            </w:pPr>
          </w:p>
        </w:tc>
      </w:tr>
      <w:tr>
        <w:trPr>
          <w:trHeight w:val="743"/>
        </w:trPr>
        <w:tc>
          <w:tcPr>
            <w:tcW w:w="134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4780" w:type="dxa"/>
            <w:vAlign w:val="bottom"/>
            <w:tcBorders>
              <w:bottom w:val="single" w:sz="8" w:color="DCDCDC"/>
            </w:tcBorders>
          </w:tcPr>
          <w:p>
            <w:pPr>
              <w:spacing w:after="0"/>
              <w:rPr>
                <w:sz w:val="24"/>
                <w:szCs w:val="24"/>
                <w:color w:val="auto"/>
              </w:rPr>
            </w:pPr>
          </w:p>
        </w:tc>
        <w:tc>
          <w:tcPr>
            <w:tcW w:w="2420" w:type="dxa"/>
            <w:vAlign w:val="bottom"/>
            <w:tcBorders>
              <w:bottom w:val="single" w:sz="8" w:color="DCDCDC"/>
            </w:tcBorders>
          </w:tcPr>
          <w:p>
            <w:pPr>
              <w:spacing w:after="0"/>
              <w:rPr>
                <w:sz w:val="24"/>
                <w:szCs w:val="24"/>
                <w:color w:val="auto"/>
              </w:rPr>
            </w:pPr>
          </w:p>
        </w:tc>
        <w:tc>
          <w:tcPr>
            <w:tcW w:w="22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10"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90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439"/>
        </w:trPr>
        <w:tc>
          <w:tcPr>
            <w:tcW w:w="96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Page</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PART I</w:t>
            </w:r>
          </w:p>
        </w:tc>
        <w:tc>
          <w:tcPr>
            <w:tcW w:w="9900" w:type="dxa"/>
            <w:vAlign w:val="bottom"/>
          </w:tcPr>
          <w:p>
            <w:pPr>
              <w:ind w:left="300"/>
              <w:spacing w:after="0"/>
              <w:rPr>
                <w:sz w:val="20"/>
                <w:szCs w:val="20"/>
                <w:color w:val="auto"/>
              </w:rPr>
            </w:pPr>
            <w:r>
              <w:rPr>
                <w:rFonts w:ascii="Arial" w:cs="Arial" w:eastAsia="Arial" w:hAnsi="Arial"/>
                <w:sz w:val="18"/>
                <w:szCs w:val="18"/>
                <w:color w:val="auto"/>
              </w:rPr>
              <w:t>FINANCIAL INFORMATION</w:t>
            </w:r>
          </w:p>
        </w:tc>
        <w:tc>
          <w:tcPr>
            <w:tcW w:w="560" w:type="dxa"/>
            <w:vAlign w:val="bottom"/>
          </w:tcPr>
          <w:p>
            <w:pPr>
              <w:spacing w:after="0"/>
              <w:rPr>
                <w:sz w:val="18"/>
                <w:szCs w:val="18"/>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tcPr>
          <w:p>
            <w:pPr>
              <w:ind w:left="300"/>
              <w:spacing w:after="0"/>
              <w:rPr>
                <w:sz w:val="20"/>
                <w:szCs w:val="20"/>
                <w:color w:val="auto"/>
              </w:rPr>
            </w:pPr>
            <w:r>
              <w:rPr>
                <w:rFonts w:ascii="Arial" w:cs="Arial" w:eastAsia="Arial" w:hAnsi="Arial"/>
                <w:sz w:val="18"/>
                <w:szCs w:val="18"/>
                <w:color w:val="auto"/>
              </w:rPr>
              <w:t>Unaudited Consolidated Financial Statements</w:t>
            </w:r>
          </w:p>
        </w:tc>
        <w:tc>
          <w:tcPr>
            <w:tcW w:w="56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9900" w:type="dxa"/>
            <w:vAlign w:val="bottom"/>
          </w:tcPr>
          <w:p>
            <w:pPr>
              <w:ind w:left="300"/>
              <w:spacing w:after="0"/>
              <w:rPr>
                <w:sz w:val="20"/>
                <w:szCs w:val="20"/>
                <w:color w:val="auto"/>
              </w:rPr>
            </w:pPr>
            <w:r>
              <w:rPr>
                <w:rFonts w:ascii="Arial" w:cs="Arial" w:eastAsia="Arial" w:hAnsi="Arial"/>
                <w:sz w:val="18"/>
                <w:szCs w:val="18"/>
                <w:color w:val="auto"/>
              </w:rPr>
              <w:t>Consolidated Balance Sheets as of June 30, 2015 and December 31, 2014</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960" w:type="dxa"/>
            <w:vAlign w:val="bottom"/>
          </w:tcPr>
          <w:p>
            <w:pPr>
              <w:spacing w:after="0"/>
              <w:rPr>
                <w:sz w:val="24"/>
                <w:szCs w:val="24"/>
                <w:color w:val="auto"/>
              </w:rPr>
            </w:pPr>
          </w:p>
        </w:tc>
        <w:tc>
          <w:tcPr>
            <w:tcW w:w="9900" w:type="dxa"/>
            <w:vAlign w:val="bottom"/>
          </w:tcPr>
          <w:p>
            <w:pPr>
              <w:ind w:left="300"/>
              <w:spacing w:after="0"/>
              <w:rPr>
                <w:sz w:val="20"/>
                <w:szCs w:val="20"/>
                <w:color w:val="auto"/>
              </w:rPr>
            </w:pPr>
            <w:r>
              <w:rPr>
                <w:rFonts w:ascii="Arial" w:cs="Arial" w:eastAsia="Arial" w:hAnsi="Arial"/>
                <w:sz w:val="18"/>
                <w:szCs w:val="18"/>
                <w:color w:val="auto"/>
                <w:w w:val="92"/>
              </w:rPr>
              <w:t>Consolidated Statements of Income and Comprehensive Income for the Three and Six Months Ended June 30, 2015 and June 30,</w:t>
            </w:r>
          </w:p>
        </w:tc>
        <w:tc>
          <w:tcPr>
            <w:tcW w:w="560" w:type="dxa"/>
            <w:vAlign w:val="bottom"/>
          </w:tcPr>
          <w:p>
            <w:pPr>
              <w:spacing w:after="0"/>
              <w:rPr>
                <w:sz w:val="24"/>
                <w:szCs w:val="24"/>
                <w:color w:val="auto"/>
              </w:rPr>
            </w:pPr>
          </w:p>
        </w:tc>
      </w:tr>
      <w:tr>
        <w:trPr>
          <w:trHeight w:val="230"/>
        </w:trPr>
        <w:tc>
          <w:tcPr>
            <w:tcW w:w="960" w:type="dxa"/>
            <w:vAlign w:val="bottom"/>
          </w:tcPr>
          <w:p>
            <w:pPr>
              <w:spacing w:after="0"/>
              <w:rPr>
                <w:sz w:val="20"/>
                <w:szCs w:val="20"/>
                <w:color w:val="auto"/>
              </w:rPr>
            </w:pPr>
          </w:p>
        </w:tc>
        <w:tc>
          <w:tcPr>
            <w:tcW w:w="9900" w:type="dxa"/>
            <w:vAlign w:val="bottom"/>
          </w:tcPr>
          <w:p>
            <w:pPr>
              <w:ind w:left="300"/>
              <w:spacing w:after="0"/>
              <w:rPr>
                <w:sz w:val="20"/>
                <w:szCs w:val="20"/>
                <w:color w:val="auto"/>
              </w:rPr>
            </w:pPr>
            <w:r>
              <w:rPr>
                <w:rFonts w:ascii="Arial" w:cs="Arial" w:eastAsia="Arial" w:hAnsi="Arial"/>
                <w:sz w:val="18"/>
                <w:szCs w:val="18"/>
                <w:color w:val="auto"/>
              </w:rPr>
              <w:t>2014</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960" w:type="dxa"/>
            <w:vAlign w:val="bottom"/>
          </w:tcPr>
          <w:p>
            <w:pPr>
              <w:spacing w:after="0"/>
              <w:rPr>
                <w:sz w:val="24"/>
                <w:szCs w:val="24"/>
                <w:color w:val="auto"/>
              </w:rPr>
            </w:pPr>
          </w:p>
        </w:tc>
        <w:tc>
          <w:tcPr>
            <w:tcW w:w="9900" w:type="dxa"/>
            <w:vAlign w:val="bottom"/>
          </w:tcPr>
          <w:p>
            <w:pPr>
              <w:ind w:left="300"/>
              <w:spacing w:after="0"/>
              <w:rPr>
                <w:sz w:val="20"/>
                <w:szCs w:val="20"/>
                <w:color w:val="auto"/>
              </w:rPr>
            </w:pPr>
            <w:r>
              <w:rPr>
                <w:rFonts w:ascii="Arial" w:cs="Arial" w:eastAsia="Arial" w:hAnsi="Arial"/>
                <w:sz w:val="18"/>
                <w:szCs w:val="18"/>
                <w:color w:val="auto"/>
              </w:rPr>
              <w:t>Consolidated Statements of Cash Flows for the Six Months Ended June 30, 2015 and June 30, 2014</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960" w:type="dxa"/>
            <w:vAlign w:val="bottom"/>
          </w:tcPr>
          <w:p>
            <w:pPr>
              <w:spacing w:after="0"/>
              <w:rPr>
                <w:sz w:val="24"/>
                <w:szCs w:val="24"/>
                <w:color w:val="auto"/>
              </w:rPr>
            </w:pPr>
          </w:p>
        </w:tc>
        <w:tc>
          <w:tcPr>
            <w:tcW w:w="9900" w:type="dxa"/>
            <w:vAlign w:val="bottom"/>
          </w:tcPr>
          <w:p>
            <w:pPr>
              <w:ind w:left="30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90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90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PART II</w:t>
            </w:r>
          </w:p>
        </w:tc>
        <w:tc>
          <w:tcPr>
            <w:tcW w:w="9900" w:type="dxa"/>
            <w:vAlign w:val="bottom"/>
          </w:tcPr>
          <w:p>
            <w:pPr>
              <w:ind w:left="300"/>
              <w:spacing w:after="0"/>
              <w:rPr>
                <w:sz w:val="20"/>
                <w:szCs w:val="20"/>
                <w:color w:val="auto"/>
              </w:rPr>
            </w:pPr>
            <w:r>
              <w:rPr>
                <w:rFonts w:ascii="Arial" w:cs="Arial" w:eastAsia="Arial" w:hAnsi="Arial"/>
                <w:sz w:val="18"/>
                <w:szCs w:val="18"/>
                <w:color w:val="auto"/>
              </w:rPr>
              <w:t>OTHER INFORMATION</w:t>
            </w:r>
          </w:p>
        </w:tc>
        <w:tc>
          <w:tcPr>
            <w:tcW w:w="56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900" w:type="dxa"/>
            <w:vAlign w:val="bottom"/>
          </w:tcPr>
          <w:p>
            <w:pPr>
              <w:ind w:left="300"/>
              <w:spacing w:after="0"/>
              <w:rPr>
                <w:sz w:val="20"/>
                <w:szCs w:val="20"/>
                <w:color w:val="auto"/>
              </w:rPr>
            </w:pPr>
            <w:r>
              <w:rPr>
                <w:rFonts w:ascii="Arial" w:cs="Arial" w:eastAsia="Arial" w:hAnsi="Arial"/>
                <w:sz w:val="18"/>
                <w:szCs w:val="18"/>
                <w:color w:val="auto"/>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900" w:type="dxa"/>
            <w:vAlign w:val="bottom"/>
          </w:tcPr>
          <w:p>
            <w:pPr>
              <w:ind w:left="300"/>
              <w:spacing w:after="0"/>
              <w:rPr>
                <w:sz w:val="20"/>
                <w:szCs w:val="20"/>
                <w:color w:val="auto"/>
              </w:rPr>
            </w:pPr>
            <w:r>
              <w:rPr>
                <w:rFonts w:ascii="Arial" w:cs="Arial" w:eastAsia="Arial" w:hAnsi="Arial"/>
                <w:sz w:val="18"/>
                <w:szCs w:val="18"/>
                <w:color w:val="auto"/>
              </w:rPr>
              <w:t>Mine Safety Disclosures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900" w:type="dxa"/>
            <w:vAlign w:val="bottom"/>
          </w:tcPr>
          <w:p>
            <w:pPr>
              <w:ind w:left="300"/>
              <w:spacing w:after="0"/>
              <w:rPr>
                <w:sz w:val="20"/>
                <w:szCs w:val="20"/>
                <w:color w:val="auto"/>
              </w:rPr>
            </w:pPr>
            <w:r>
              <w:rPr>
                <w:rFonts w:ascii="Arial" w:cs="Arial" w:eastAsia="Arial" w:hAnsi="Arial"/>
                <w:sz w:val="18"/>
                <w:szCs w:val="18"/>
                <w:color w:val="auto"/>
              </w:rPr>
              <w:t>Exhibits</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960" w:type="dxa"/>
            <w:vAlign w:val="bottom"/>
          </w:tcPr>
          <w:p>
            <w:pPr>
              <w:spacing w:after="0"/>
              <w:rPr>
                <w:sz w:val="24"/>
                <w:szCs w:val="24"/>
                <w:color w:val="auto"/>
              </w:rPr>
            </w:pPr>
          </w:p>
        </w:tc>
        <w:tc>
          <w:tcPr>
            <w:tcW w:w="9900" w:type="dxa"/>
            <w:vAlign w:val="bottom"/>
          </w:tcPr>
          <w:p>
            <w:pPr>
              <w:ind w:left="300"/>
              <w:spacing w:after="0"/>
              <w:rPr>
                <w:sz w:val="20"/>
                <w:szCs w:val="20"/>
                <w:color w:val="auto"/>
              </w:rPr>
            </w:pPr>
            <w:r>
              <w:rPr>
                <w:rFonts w:ascii="Arial" w:cs="Arial" w:eastAsia="Arial" w:hAnsi="Arial"/>
                <w:sz w:val="18"/>
                <w:szCs w:val="18"/>
                <w:color w:val="auto"/>
              </w:rPr>
              <w:t>Signatures</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648"/>
        </w:trPr>
        <w:tc>
          <w:tcPr>
            <w:tcW w:w="960" w:type="dxa"/>
            <w:vAlign w:val="bottom"/>
            <w:tcBorders>
              <w:bottom w:val="single" w:sz="8" w:color="DCDCDC"/>
            </w:tcBorders>
          </w:tcPr>
          <w:p>
            <w:pPr>
              <w:spacing w:after="0"/>
              <w:rPr>
                <w:sz w:val="24"/>
                <w:szCs w:val="24"/>
                <w:color w:val="auto"/>
              </w:rPr>
            </w:pPr>
          </w:p>
        </w:tc>
        <w:tc>
          <w:tcPr>
            <w:tcW w:w="9900" w:type="dxa"/>
            <w:vAlign w:val="bottom"/>
            <w:tcBorders>
              <w:bottom w:val="single" w:sz="8" w:color="DCDCDC"/>
            </w:tcBorders>
          </w:tcPr>
          <w:p>
            <w:pPr>
              <w:ind w:left="470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June 30,</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80" w:type="dxa"/>
            <w:vAlign w:val="bottom"/>
          </w:tcPr>
          <w:p>
            <w:pPr>
              <w:ind w:left="4100"/>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44,513</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43,985</w:t>
            </w:r>
          </w:p>
        </w:tc>
        <w:tc>
          <w:tcPr>
            <w:tcW w:w="0" w:type="dxa"/>
            <w:vAlign w:val="bottom"/>
          </w:tcPr>
          <w:p>
            <w:pPr>
              <w:spacing w:after="0"/>
              <w:rPr>
                <w:sz w:val="1"/>
                <w:szCs w:val="1"/>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16"/>
        </w:trPr>
        <w:tc>
          <w:tcPr>
            <w:tcW w:w="88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80" w:type="dxa"/>
            <w:vAlign w:val="bottom"/>
          </w:tcPr>
          <w:p>
            <w:pPr>
              <w:ind w:left="2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888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0"/>
        </w:trPr>
        <w:tc>
          <w:tcPr>
            <w:tcW w:w="88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50,618</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Long term deferred tax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7"/>
        </w:trPr>
        <w:tc>
          <w:tcPr>
            <w:tcW w:w="88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8880" w:type="dxa"/>
            <w:vAlign w:val="bottom"/>
          </w:tcPr>
          <w:p>
            <w:pPr>
              <w:ind w:left="500"/>
              <w:spacing w:after="0" w:line="196" w:lineRule="exact"/>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57,776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80" w:type="dxa"/>
            <w:vAlign w:val="bottom"/>
            <w:vMerge w:val="restart"/>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888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37"/>
        </w:trPr>
        <w:tc>
          <w:tcPr>
            <w:tcW w:w="88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23"/>
        </w:trPr>
        <w:tc>
          <w:tcPr>
            <w:tcW w:w="888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888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32"/>
        </w:trPr>
        <w:tc>
          <w:tcPr>
            <w:tcW w:w="888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280"/>
              <w:spacing w:after="0"/>
              <w:rPr>
                <w:sz w:val="20"/>
                <w:szCs w:val="20"/>
                <w:color w:val="auto"/>
              </w:rPr>
            </w:pPr>
            <w:r>
              <w:rPr>
                <w:rFonts w:ascii="Arial" w:cs="Arial" w:eastAsia="Arial" w:hAnsi="Arial"/>
                <w:sz w:val="18"/>
                <w:szCs w:val="18"/>
                <w:color w:val="auto"/>
              </w:rPr>
              <w:t>Preferred stock, $1.00 par value; 1,000,000 shares authorized, none 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tcPr>
          <w:p>
            <w:pPr>
              <w:ind w:left="280"/>
              <w:spacing w:after="0"/>
              <w:rPr>
                <w:sz w:val="20"/>
                <w:szCs w:val="20"/>
                <w:color w:val="auto"/>
              </w:rPr>
            </w:pPr>
            <w:r>
              <w:rPr>
                <w:rFonts w:ascii="Arial" w:cs="Arial" w:eastAsia="Arial" w:hAnsi="Arial"/>
                <w:sz w:val="18"/>
                <w:szCs w:val="18"/>
                <w:color w:val="auto"/>
                <w:w w:val="90"/>
              </w:rPr>
              <w:t>Common stock, $.01 par value; 70,000,000 shares authorized; issued and outstanding 22,871,039 as of June 30, 2015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880" w:type="dxa"/>
            <w:vAlign w:val="bottom"/>
          </w:tcPr>
          <w:p>
            <w:pPr>
              <w:ind w:left="460"/>
              <w:spacing w:after="0"/>
              <w:rPr>
                <w:sz w:val="20"/>
                <w:szCs w:val="20"/>
                <w:color w:val="auto"/>
              </w:rPr>
            </w:pPr>
            <w:r>
              <w:rPr>
                <w:rFonts w:ascii="Arial" w:cs="Arial" w:eastAsia="Arial" w:hAnsi="Arial"/>
                <w:sz w:val="18"/>
                <w:szCs w:val="18"/>
                <w:color w:val="auto"/>
              </w:rPr>
              <w:t>and 22,808,761 as of December 31, 2014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88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103,756</w:t>
            </w:r>
          </w:p>
        </w:tc>
        <w:tc>
          <w:tcPr>
            <w:tcW w:w="0" w:type="dxa"/>
            <w:vAlign w:val="bottom"/>
          </w:tcPr>
          <w:p>
            <w:pPr>
              <w:spacing w:after="0"/>
              <w:rPr>
                <w:sz w:val="1"/>
                <w:szCs w:val="1"/>
                <w:color w:val="auto"/>
              </w:rPr>
            </w:pPr>
          </w:p>
        </w:tc>
      </w:tr>
      <w:tr>
        <w:trPr>
          <w:trHeight w:val="216"/>
        </w:trPr>
        <w:tc>
          <w:tcPr>
            <w:tcW w:w="88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88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(50,975)</w:t>
            </w:r>
          </w:p>
        </w:tc>
        <w:tc>
          <w:tcPr>
            <w:tcW w:w="22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(51,566)</w:t>
            </w:r>
          </w:p>
        </w:tc>
        <w:tc>
          <w:tcPr>
            <w:tcW w:w="0" w:type="dxa"/>
            <w:vAlign w:val="bottom"/>
          </w:tcPr>
          <w:p>
            <w:pPr>
              <w:spacing w:after="0"/>
              <w:rPr>
                <w:sz w:val="1"/>
                <w:szCs w:val="1"/>
                <w:color w:val="auto"/>
              </w:rPr>
            </w:pPr>
          </w:p>
        </w:tc>
      </w:tr>
      <w:tr>
        <w:trPr>
          <w:trHeight w:val="223"/>
        </w:trPr>
        <w:tc>
          <w:tcPr>
            <w:tcW w:w="8880" w:type="dxa"/>
            <w:vAlign w:val="bottom"/>
          </w:tcPr>
          <w:p>
            <w:pPr>
              <w:ind w:left="58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8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57,776</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55,893</w:t>
            </w:r>
          </w:p>
        </w:tc>
        <w:tc>
          <w:tcPr>
            <w:tcW w:w="0" w:type="dxa"/>
            <w:vAlign w:val="bottom"/>
          </w:tcPr>
          <w:p>
            <w:pPr>
              <w:spacing w:after="0"/>
              <w:rPr>
                <w:sz w:val="1"/>
                <w:szCs w:val="1"/>
                <w:color w:val="auto"/>
              </w:rPr>
            </w:pPr>
          </w:p>
        </w:tc>
      </w:tr>
      <w:tr>
        <w:trPr>
          <w:trHeight w:val="21"/>
        </w:trPr>
        <w:tc>
          <w:tcPr>
            <w:tcW w:w="8880" w:type="dxa"/>
            <w:vAlign w:val="bottom"/>
            <w:vMerge w:val="restart"/>
          </w:tcPr>
          <w:p>
            <w:pPr>
              <w:ind w:left="2640"/>
              <w:spacing w:after="0"/>
              <w:rPr>
                <w:sz w:val="20"/>
                <w:szCs w:val="20"/>
                <w:color w:val="auto"/>
              </w:rPr>
            </w:pPr>
            <w:r>
              <w:rPr>
                <w:rFonts w:ascii="Arial" w:cs="Arial" w:eastAsia="Arial" w:hAnsi="Arial"/>
                <w:sz w:val="18"/>
                <w:szCs w:val="18"/>
                <w:color w:val="auto"/>
                <w:w w:val="91"/>
              </w:rPr>
              <w:t>The accompanying notes are an integral part of the consolidated financial statements.</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8880" w:type="dxa"/>
            <w:vAlign w:val="bottom"/>
            <w:tcBorders>
              <w:bottom w:val="single" w:sz="8" w:color="DCDCDC"/>
            </w:tcBorders>
          </w:tcPr>
          <w:p>
            <w:pPr>
              <w:ind w:left="566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Software licenses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2,272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2,065</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3,921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Software maintenance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Hardware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2,048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3"/>
        </w:trPr>
        <w:tc>
          <w:tcPr>
            <w:tcW w:w="60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4,510</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6,767</w:t>
            </w: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8,633</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hardware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1,746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23"/>
        </w:trPr>
        <w:tc>
          <w:tcPr>
            <w:tcW w:w="608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4,033</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5,385</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7,772</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income/(expense)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140"/>
              <w:spacing w:after="0" w:line="201" w:lineRule="exact"/>
              <w:rPr>
                <w:sz w:val="20"/>
                <w:szCs w:val="20"/>
                <w:color w:val="auto"/>
              </w:rPr>
            </w:pPr>
            <w:r>
              <w:rPr>
                <w:rFonts w:ascii="Arial" w:cs="Arial" w:eastAsia="Arial" w:hAnsi="Arial"/>
                <w:sz w:val="18"/>
                <w:szCs w:val="18"/>
                <w:color w:val="auto"/>
              </w:rPr>
              <w:t>510</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1,375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140"/>
              <w:spacing w:after="0" w:line="201" w:lineRule="exact"/>
              <w:rPr>
                <w:sz w:val="20"/>
                <w:szCs w:val="20"/>
                <w:color w:val="auto"/>
              </w:rPr>
            </w:pPr>
            <w:r>
              <w:rPr>
                <w:rFonts w:ascii="Arial" w:cs="Arial" w:eastAsia="Arial" w:hAnsi="Arial"/>
                <w:sz w:val="18"/>
                <w:szCs w:val="18"/>
                <w:color w:val="auto"/>
              </w:rPr>
              <w:t>947</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608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rPr>
              <w:t>319</w:t>
            </w:r>
          </w:p>
        </w:tc>
        <w:tc>
          <w:tcPr>
            <w:tcW w:w="380" w:type="dxa"/>
            <w:vAlign w:val="bottom"/>
            <w:tcBorders>
              <w:top w:val="single" w:sz="8" w:color="auto"/>
              <w:bottom w:val="single" w:sz="8" w:color="auto"/>
            </w:tcBorders>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865</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rPr>
              <w:t>591</w:t>
            </w:r>
          </w:p>
        </w:tc>
        <w:tc>
          <w:tcPr>
            <w:tcW w:w="360" w:type="dxa"/>
            <w:vAlign w:val="bottom"/>
            <w:tcBorders>
              <w:top w:val="single" w:sz="8" w:color="auto"/>
              <w:bottom w:val="single" w:sz="8" w:color="auto"/>
            </w:tcBorders>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08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Weighted-average shares – basic</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22,867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22,630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22,866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22,628</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Weighted-average shares - diluted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23,029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22,837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22,958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22,769</w:t>
            </w:r>
          </w:p>
        </w:tc>
        <w:tc>
          <w:tcPr>
            <w:tcW w:w="0" w:type="dxa"/>
            <w:vAlign w:val="bottom"/>
          </w:tcPr>
          <w:p>
            <w:pPr>
              <w:spacing w:after="0"/>
              <w:rPr>
                <w:sz w:val="1"/>
                <w:szCs w:val="1"/>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865</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6080" w:type="dxa"/>
            <w:vAlign w:val="bottom"/>
          </w:tcPr>
          <w:p>
            <w:pPr>
              <w:ind w:left="280"/>
              <w:spacing w:after="0"/>
              <w:rPr>
                <w:sz w:val="20"/>
                <w:szCs w:val="20"/>
                <w:color w:val="auto"/>
              </w:rPr>
            </w:pPr>
            <w:r>
              <w:rPr>
                <w:rFonts w:ascii="Arial" w:cs="Arial" w:eastAsia="Arial" w:hAnsi="Arial"/>
                <w:sz w:val="18"/>
                <w:szCs w:val="18"/>
                <w:color w:val="auto"/>
              </w:rPr>
              <w:t>Unrealized gains (losses) on available for sale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line="196" w:lineRule="exact"/>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rPr>
              <w:t>271</w:t>
            </w:r>
          </w:p>
        </w:tc>
        <w:tc>
          <w:tcPr>
            <w:tcW w:w="380" w:type="dxa"/>
            <w:vAlign w:val="bottom"/>
            <w:tcBorders>
              <w:top w:val="single" w:sz="8" w:color="auto"/>
              <w:bottom w:val="single" w:sz="8" w:color="auto"/>
            </w:tcBorders>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902</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color w:val="auto"/>
              </w:rPr>
              <w:t>551</w:t>
            </w:r>
          </w:p>
        </w:tc>
        <w:tc>
          <w:tcPr>
            <w:tcW w:w="360" w:type="dxa"/>
            <w:vAlign w:val="bottom"/>
            <w:tcBorders>
              <w:top w:val="single" w:sz="8" w:color="auto"/>
              <w:bottom w:val="single" w:sz="8" w:color="auto"/>
            </w:tcBorders>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r>
      <w:tr>
        <w:trPr>
          <w:trHeight w:val="241"/>
        </w:trPr>
        <w:tc>
          <w:tcPr>
            <w:tcW w:w="7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75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2014</w:t>
            </w:r>
          </w:p>
        </w:tc>
        <w:tc>
          <w:tcPr>
            <w:tcW w:w="60" w:type="dxa"/>
            <w:vAlign w:val="bottom"/>
          </w:tcPr>
          <w:p>
            <w:pPr>
              <w:spacing w:after="0"/>
              <w:rPr>
                <w:sz w:val="19"/>
                <w:szCs w:val="19"/>
                <w:color w:val="auto"/>
              </w:rPr>
            </w:pPr>
          </w:p>
        </w:tc>
      </w:tr>
      <w:tr>
        <w:trPr>
          <w:trHeight w:val="418"/>
        </w:trPr>
        <w:tc>
          <w:tcPr>
            <w:tcW w:w="75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5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1,746</w:t>
            </w:r>
          </w:p>
        </w:tc>
      </w:tr>
      <w:tr>
        <w:trPr>
          <w:trHeight w:val="216"/>
        </w:trPr>
        <w:tc>
          <w:tcPr>
            <w:tcW w:w="750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r>
      <w:tr>
        <w:trPr>
          <w:trHeight w:val="216"/>
        </w:trPr>
        <w:tc>
          <w:tcPr>
            <w:tcW w:w="75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r>
      <w:tr>
        <w:trPr>
          <w:trHeight w:val="216"/>
        </w:trPr>
        <w:tc>
          <w:tcPr>
            <w:tcW w:w="7500" w:type="dxa"/>
            <w:vAlign w:val="bottom"/>
          </w:tcPr>
          <w:p>
            <w:pPr>
              <w:ind w:left="260"/>
              <w:spacing w:after="0"/>
              <w:rPr>
                <w:sz w:val="20"/>
                <w:szCs w:val="20"/>
                <w:color w:val="auto"/>
              </w:rPr>
            </w:pPr>
            <w:r>
              <w:rPr>
                <w:rFonts w:ascii="Arial" w:cs="Arial" w:eastAsia="Arial" w:hAnsi="Arial"/>
                <w:sz w:val="18"/>
                <w:szCs w:val="18"/>
                <w:color w:val="auto"/>
              </w:rPr>
              <w:t>Amortization of premium on investments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ind w:left="280"/>
              <w:spacing w:after="0"/>
              <w:rPr>
                <w:sz w:val="20"/>
                <w:szCs w:val="20"/>
                <w:color w:val="auto"/>
              </w:rPr>
            </w:pPr>
            <w:r>
              <w:rPr>
                <w:rFonts w:ascii="Arial" w:cs="Arial" w:eastAsia="Arial" w:hAnsi="Arial"/>
                <w:sz w:val="18"/>
                <w:szCs w:val="18"/>
                <w:color w:val="auto"/>
              </w:rPr>
              <w:t>Deferred tax provision on other comprehensive income</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500" w:type="dxa"/>
            <w:vAlign w:val="bottom"/>
          </w:tcPr>
          <w:p>
            <w:pPr>
              <w:ind w:left="280"/>
              <w:spacing w:after="0"/>
              <w:rPr>
                <w:sz w:val="20"/>
                <w:szCs w:val="20"/>
                <w:color w:val="auto"/>
              </w:rPr>
            </w:pPr>
            <w:r>
              <w:rPr>
                <w:rFonts w:ascii="Arial" w:cs="Arial" w:eastAsia="Arial" w:hAnsi="Arial"/>
                <w:sz w:val="18"/>
                <w:szCs w:val="18"/>
                <w:color w:val="auto"/>
              </w:rPr>
              <w:t>(Gain)/loss on sale of investments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750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0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(1,312)</w:t>
            </w:r>
          </w:p>
        </w:tc>
      </w:tr>
      <w:tr>
        <w:trPr>
          <w:trHeight w:val="216"/>
        </w:trPr>
        <w:tc>
          <w:tcPr>
            <w:tcW w:w="75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1,538</w:t>
            </w:r>
          </w:p>
        </w:tc>
      </w:tr>
      <w:tr>
        <w:trPr>
          <w:trHeight w:val="216"/>
        </w:trPr>
        <w:tc>
          <w:tcPr>
            <w:tcW w:w="75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r>
      <w:tr>
        <w:trPr>
          <w:trHeight w:val="216"/>
        </w:trPr>
        <w:tc>
          <w:tcPr>
            <w:tcW w:w="750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r>
      <w:tr>
        <w:trPr>
          <w:trHeight w:val="216"/>
        </w:trPr>
        <w:tc>
          <w:tcPr>
            <w:tcW w:w="75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(923)</w:t>
            </w:r>
          </w:p>
        </w:tc>
      </w:tr>
      <w:tr>
        <w:trPr>
          <w:trHeight w:val="216"/>
        </w:trPr>
        <w:tc>
          <w:tcPr>
            <w:tcW w:w="7500" w:type="dxa"/>
            <w:vAlign w:val="bottom"/>
          </w:tcPr>
          <w:p>
            <w:pPr>
              <w:ind w:left="400"/>
              <w:spacing w:after="0"/>
              <w:rPr>
                <w:sz w:val="20"/>
                <w:szCs w:val="20"/>
                <w:color w:val="auto"/>
              </w:rPr>
            </w:pPr>
            <w:r>
              <w:rPr>
                <w:rFonts w:ascii="Arial" w:cs="Arial" w:eastAsia="Arial" w:hAnsi="Arial"/>
                <w:sz w:val="18"/>
                <w:szCs w:val="18"/>
                <w:color w:val="auto"/>
              </w:rPr>
              <w:t>Accrued expenses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r>
      <w:tr>
        <w:trPr>
          <w:trHeight w:val="216"/>
        </w:trPr>
        <w:tc>
          <w:tcPr>
            <w:tcW w:w="7500" w:type="dxa"/>
            <w:vAlign w:val="bottom"/>
          </w:tcPr>
          <w:p>
            <w:pPr>
              <w:ind w:left="400"/>
              <w:spacing w:after="0"/>
              <w:rPr>
                <w:sz w:val="20"/>
                <w:szCs w:val="20"/>
                <w:color w:val="auto"/>
              </w:rPr>
            </w:pPr>
            <w:r>
              <w:rPr>
                <w:rFonts w:ascii="Arial" w:cs="Arial" w:eastAsia="Arial" w:hAnsi="Arial"/>
                <w:sz w:val="18"/>
                <w:szCs w:val="18"/>
                <w:color w:val="auto"/>
              </w:rPr>
              <w:t>Accrued income taxes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r>
        <w:trPr>
          <w:trHeight w:val="237"/>
        </w:trPr>
        <w:tc>
          <w:tcPr>
            <w:tcW w:w="75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r>
      <w:tr>
        <w:trPr>
          <w:trHeight w:val="223"/>
        </w:trPr>
        <w:tc>
          <w:tcPr>
            <w:tcW w:w="7500" w:type="dxa"/>
            <w:vAlign w:val="bottom"/>
          </w:tcPr>
          <w:p>
            <w:pPr>
              <w:ind w:left="540"/>
              <w:spacing w:after="0"/>
              <w:rPr>
                <w:sz w:val="20"/>
                <w:szCs w:val="20"/>
                <w:color w:val="auto"/>
              </w:rPr>
            </w:pPr>
            <w:r>
              <w:rPr>
                <w:rFonts w:ascii="Arial" w:cs="Arial" w:eastAsia="Arial" w:hAnsi="Arial"/>
                <w:sz w:val="18"/>
                <w:szCs w:val="18"/>
                <w:color w:val="auto"/>
              </w:rPr>
              <w:t>Net cash provided by (used in) operating activities</w:t>
            </w:r>
          </w:p>
        </w:tc>
        <w:tc>
          <w:tcPr>
            <w:tcW w:w="1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80"/>
          </w:cols>
          <w:pgMar w:left="240" w:top="877" w:right="27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property and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Sales of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other assets</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 cash provided by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Proceeds from issuance of common stock</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Excess tax benefits from stock-based compensation</w:t>
      </w:r>
    </w:p>
    <w:p>
      <w:pPr>
        <w:spacing w:after="0" w:line="9" w:lineRule="exact"/>
        <w:rPr>
          <w:sz w:val="20"/>
          <w:szCs w:val="20"/>
          <w:color w:val="auto"/>
        </w:rPr>
      </w:pPr>
    </w:p>
    <w:p>
      <w:pPr>
        <w:ind w:left="540" w:right="2200" w:hanging="314"/>
        <w:spacing w:after="0" w:line="323" w:lineRule="auto"/>
        <w:rPr>
          <w:sz w:val="20"/>
          <w:szCs w:val="20"/>
          <w:color w:val="auto"/>
        </w:rPr>
      </w:pPr>
      <w:r>
        <w:rPr>
          <w:rFonts w:ascii="Arial" w:cs="Arial" w:eastAsia="Arial" w:hAnsi="Arial"/>
          <w:sz w:val="18"/>
          <w:szCs w:val="18"/>
          <w:color w:val="auto"/>
        </w:rPr>
        <w:t>Payments made for taxes of employees who surrendered shares related to unrestricted stock Net cash provided by financing activities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220" w:hanging="1137"/>
        <w:spacing w:after="0"/>
        <w:tabs>
          <w:tab w:leader="none" w:pos="1220" w:val="left"/>
        </w:tabs>
        <w:numPr>
          <w:ilvl w:val="0"/>
          <w:numId w:val="1"/>
        </w:numPr>
        <w:rPr>
          <w:rFonts w:ascii="Arial" w:cs="Arial" w:eastAsia="Arial" w:hAnsi="Arial"/>
          <w:sz w:val="17"/>
          <w:szCs w:val="17"/>
          <w:color w:val="auto"/>
        </w:rPr>
      </w:pPr>
      <w:r>
        <w:rPr>
          <w:rFonts w:ascii="Arial" w:cs="Arial" w:eastAsia="Arial" w:hAnsi="Arial"/>
          <w:sz w:val="17"/>
          <w:szCs w:val="17"/>
          <w:color w:val="auto"/>
        </w:rPr>
        <w:t>(101)</w:t>
      </w:r>
    </w:p>
    <w:p>
      <w:pPr>
        <w:spacing w:after="0" w:line="34"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529</w:t>
      </w:r>
      <w:r>
        <w:rPr>
          <w:rFonts w:ascii="Arial" w:cs="Arial" w:eastAsia="Arial" w:hAnsi="Arial"/>
          <w:sz w:val="16"/>
          <w:szCs w:val="16"/>
          <w:color w:val="auto"/>
        </w:rPr>
        <w:t>1,432</w:t>
      </w:r>
    </w:p>
    <w:p>
      <w:pPr>
        <w:spacing w:after="0" w:line="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5715</wp:posOffset>
            </wp:positionV>
            <wp:extent cx="14408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1,331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14605</wp:posOffset>
            </wp:positionV>
            <wp:extent cx="14408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40"/>
        <w:spacing w:after="0"/>
        <w:tabs>
          <w:tab w:leader="none" w:pos="1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68</w:t>
      </w:r>
    </w:p>
    <w:p>
      <w:pPr>
        <w:spacing w:after="0" w:line="23" w:lineRule="exact"/>
        <w:rPr>
          <w:sz w:val="20"/>
          <w:szCs w:val="20"/>
          <w:color w:val="auto"/>
        </w:rPr>
      </w:pPr>
    </w:p>
    <w:p>
      <w:pPr>
        <w:ind w:left="1280" w:hanging="1227"/>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592</w:t>
      </w:r>
    </w:p>
    <w:p>
      <w:pPr>
        <w:spacing w:after="0" w:line="9"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(87)</w:t>
      </w:r>
      <w:r>
        <w:rPr>
          <w:rFonts w:ascii="Arial" w:cs="Arial" w:eastAsia="Arial" w:hAnsi="Arial"/>
          <w:sz w:val="16"/>
          <w:szCs w:val="16"/>
          <w:color w:val="auto"/>
        </w:rPr>
        <w:t>(92)</w:t>
      </w:r>
    </w:p>
    <w:p>
      <w:pPr>
        <w:spacing w:after="0" w:line="22" w:lineRule="exact"/>
        <w:rPr>
          <w:rFonts w:ascii="Arial" w:cs="Arial" w:eastAsia="Arial" w:hAnsi="Arial"/>
          <w:sz w:val="18"/>
          <w:szCs w:val="18"/>
          <w:color w:val="auto"/>
        </w:rPr>
      </w:pPr>
    </w:p>
    <w:p>
      <w:pPr>
        <w:ind w:left="1280" w:hanging="1227"/>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-139065</wp:posOffset>
            </wp:positionV>
            <wp:extent cx="14408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1714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14605</wp:posOffset>
            </wp:positionV>
            <wp:extent cx="14408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9040" w:space="720"/>
            <w:col w:w="1620"/>
          </w:cols>
          <w:pgMar w:left="240" w:top="877" w:right="2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37"/>
        </w:trPr>
        <w:tc>
          <w:tcPr>
            <w:tcW w:w="90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72,660</w:t>
            </w:r>
          </w:p>
        </w:tc>
        <w:tc>
          <w:tcPr>
            <w:tcW w:w="0" w:type="dxa"/>
            <w:vAlign w:val="bottom"/>
          </w:tcPr>
          <w:p>
            <w:pPr>
              <w:spacing w:after="0"/>
              <w:rPr>
                <w:sz w:val="1"/>
                <w:szCs w:val="1"/>
                <w:color w:val="auto"/>
              </w:rPr>
            </w:pPr>
          </w:p>
        </w:tc>
      </w:tr>
      <w:tr>
        <w:trPr>
          <w:trHeight w:val="432"/>
        </w:trPr>
        <w:tc>
          <w:tcPr>
            <w:tcW w:w="90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44,513</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77,242</w:t>
            </w:r>
          </w:p>
        </w:tc>
        <w:tc>
          <w:tcPr>
            <w:tcW w:w="0" w:type="dxa"/>
            <w:vAlign w:val="bottom"/>
          </w:tcPr>
          <w:p>
            <w:pPr>
              <w:spacing w:after="0"/>
              <w:rPr>
                <w:sz w:val="1"/>
                <w:szCs w:val="1"/>
                <w:color w:val="auto"/>
              </w:rPr>
            </w:pPr>
          </w:p>
        </w:tc>
      </w:tr>
      <w:tr>
        <w:trPr>
          <w:trHeight w:val="21"/>
        </w:trPr>
        <w:tc>
          <w:tcPr>
            <w:tcW w:w="9040" w:type="dxa"/>
            <w:vAlign w:val="bottom"/>
            <w:vMerge w:val="restart"/>
          </w:tcPr>
          <w:p>
            <w:pPr>
              <w:spacing w:after="0"/>
              <w:rPr>
                <w:sz w:val="20"/>
                <w:szCs w:val="20"/>
                <w:color w:val="auto"/>
              </w:rPr>
            </w:pPr>
            <w:r>
              <w:rPr>
                <w:rFonts w:ascii="Arial" w:cs="Arial" w:eastAsia="Arial" w:hAnsi="Arial"/>
                <w:sz w:val="18"/>
                <w:szCs w:val="18"/>
                <w:color w:val="auto"/>
              </w:rPr>
              <w:t>Supplemental disclosure: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9040" w:type="dxa"/>
            <w:vAlign w:val="bottom"/>
            <w:vMerge w:val="continue"/>
          </w:tcPr>
          <w:p>
            <w:pPr>
              <w:spacing w:after="0"/>
              <w:rPr>
                <w:sz w:val="24"/>
                <w:szCs w:val="24"/>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346</w:t>
            </w: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9040" w:type="dxa"/>
            <w:vAlign w:val="bottom"/>
          </w:tcPr>
          <w:p>
            <w:pPr>
              <w:ind w:left="140"/>
              <w:spacing w:after="0" w:line="157" w:lineRule="exact"/>
              <w:rPr>
                <w:sz w:val="20"/>
                <w:szCs w:val="20"/>
                <w:color w:val="auto"/>
              </w:rPr>
            </w:pPr>
            <w:r>
              <w:rPr>
                <w:rFonts w:ascii="Arial" w:cs="Arial" w:eastAsia="Arial" w:hAnsi="Arial"/>
                <w:sz w:val="18"/>
                <w:szCs w:val="18"/>
                <w:color w:val="auto"/>
              </w:rPr>
              <w:t>Cash paid for income taxes</w:t>
            </w:r>
          </w:p>
        </w:tc>
        <w:tc>
          <w:tcPr>
            <w:tcW w:w="3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040" w:type="dxa"/>
            <w:vAlign w:val="bottom"/>
            <w:vMerge w:val="restart"/>
          </w:tcPr>
          <w:p>
            <w:pPr>
              <w:spacing w:after="0"/>
              <w:rPr>
                <w:sz w:val="20"/>
                <w:szCs w:val="20"/>
                <w:color w:val="auto"/>
              </w:rPr>
            </w:pPr>
            <w:r>
              <w:rPr>
                <w:rFonts w:ascii="Arial" w:cs="Arial" w:eastAsia="Arial" w:hAnsi="Arial"/>
                <w:sz w:val="18"/>
                <w:szCs w:val="18"/>
                <w:color w:val="auto"/>
              </w:rPr>
              <w:t>Non-cash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9040" w:type="dxa"/>
            <w:vAlign w:val="bottom"/>
            <w:vMerge w:val="continue"/>
          </w:tcPr>
          <w:p>
            <w:pPr>
              <w:spacing w:after="0"/>
              <w:rPr>
                <w:sz w:val="24"/>
                <w:szCs w:val="24"/>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76"/>
        </w:trPr>
        <w:tc>
          <w:tcPr>
            <w:tcW w:w="9040" w:type="dxa"/>
            <w:vAlign w:val="bottom"/>
          </w:tcPr>
          <w:p>
            <w:pPr>
              <w:ind w:left="140"/>
              <w:spacing w:after="0" w:line="157" w:lineRule="exact"/>
              <w:rPr>
                <w:sz w:val="20"/>
                <w:szCs w:val="20"/>
                <w:color w:val="auto"/>
              </w:rPr>
            </w:pPr>
            <w:r>
              <w:rPr>
                <w:rFonts w:ascii="Arial" w:cs="Arial" w:eastAsia="Arial" w:hAnsi="Arial"/>
                <w:sz w:val="18"/>
                <w:szCs w:val="18"/>
                <w:color w:val="auto"/>
              </w:rPr>
              <w:t>Stock option receivables offset against proceeds from issuance of common stock</w:t>
            </w:r>
          </w:p>
        </w:tc>
        <w:tc>
          <w:tcPr>
            <w:tcW w:w="3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340" w:hanging="332"/>
        <w:spacing w:after="0" w:line="25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consolidated financial statements have been prepared in accordance with the instructions for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2014 in conjunction with our 2014 Annual Report on Form 10-K. This Form 10-Q should be read in conjunction with that Form 10-K.</w:t>
      </w:r>
    </w:p>
    <w:p>
      <w:pPr>
        <w:spacing w:after="0" w:line="188"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The accompanying unaudited consolidated balance sheets, statements of income and comprehensive income, and statements of cash flows reflect all adjustments (consisting only of normal recurring items) which are, in the opinion of management, necessary for a fair presentation of financial position at June 30, 2015, and of operations and cash flows for the interim periods ended June 30, 2015 and 2014.</w:t>
      </w:r>
    </w:p>
    <w:p>
      <w:pPr>
        <w:spacing w:after="0" w:line="18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 results of operations for the interim period ended June 30, 2015 are not necessarily indicative of the results to be expected for the year.</w:t>
      </w:r>
    </w:p>
    <w:p>
      <w:pPr>
        <w:spacing w:after="0" w:line="236"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The Financial Accounting Standards Board (“FASB”) Codification defines fair value, and establishes a fair value hierarchy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prioritizes the inputs to valuation techniques used to measure fair value. The hierarchy gives the highest priority to the unadjusted quoted prices in active markets for identical assets or liabilities (level 1 measurements) and the lowest priority to unobservable inputs (level 3 measurements). The three levels of the fair value hierarchy under the FASB Codification are: i) Level 1 – valuations that are based on quoted prices (unadjusted) in active markets for identical assets or liabilities that the reporting entity has the ability to access at the measurement date; ii) Level 2 – valuations that are based on quoted prices in markets that are not active or for which all significant inputs are observable, either directly or indirectly; and iii) Level 3 – valuations that require inputs that are both significant to the fair value measurement and unobservable.</w:t>
      </w:r>
    </w:p>
    <w:p>
      <w:pPr>
        <w:spacing w:after="0" w:line="177"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Cash and cash equivalents, which primarily include money market mutual funds, were $44.5 million and $44.0 million as of June 30, 2015 and December 31, 2014, respectively. We classified our cash equivalents of $34.3 million and $34.3 million as of June 30, 2015 and December 31, 2014 within Level 1 of the fair value hierarchy because they are valued using quoted market prices.</w:t>
      </w:r>
    </w:p>
    <w:p>
      <w:pPr>
        <w:spacing w:after="0" w:line="181" w:lineRule="exact"/>
        <w:rPr>
          <w:rFonts w:ascii="Arial" w:cs="Arial" w:eastAsia="Arial" w:hAnsi="Arial"/>
          <w:sz w:val="17"/>
          <w:szCs w:val="17"/>
          <w:color w:val="auto"/>
        </w:rPr>
      </w:pPr>
    </w:p>
    <w:p>
      <w:pPr>
        <w:jc w:val="both"/>
        <w:ind w:left="340"/>
        <w:spacing w:after="0" w:line="286" w:lineRule="auto"/>
        <w:rPr>
          <w:rFonts w:ascii="Arial" w:cs="Arial" w:eastAsia="Arial" w:hAnsi="Arial"/>
          <w:sz w:val="17"/>
          <w:szCs w:val="17"/>
          <w:color w:val="auto"/>
        </w:rPr>
      </w:pPr>
      <w:r>
        <w:rPr>
          <w:rFonts w:ascii="Arial" w:cs="Arial" w:eastAsia="Arial" w:hAnsi="Arial"/>
          <w:sz w:val="17"/>
          <w:szCs w:val="17"/>
          <w:color w:val="auto"/>
        </w:rPr>
        <w:t>Our investments, which consist of high yield corporate debt securities, are also classified within Level 1 of the fair value hierarchy because they are valued using quoted market prices. We categorize our investments as available-for-sale securities, and carry them at fair value in our financial statements. We had $0.9 million and $1.4 million of available-for-sale investments as of June 30, 2015 and December 31, 2014, respectively.</w:t>
      </w:r>
    </w:p>
    <w:p>
      <w:pPr>
        <w:spacing w:after="0" w:line="165" w:lineRule="exact"/>
        <w:rPr>
          <w:rFonts w:ascii="Arial" w:cs="Arial" w:eastAsia="Arial" w:hAnsi="Arial"/>
          <w:sz w:val="17"/>
          <w:szCs w:val="17"/>
          <w:color w:val="auto"/>
        </w:rPr>
      </w:pPr>
    </w:p>
    <w:p>
      <w:pPr>
        <w:ind w:left="340"/>
        <w:spacing w:after="0" w:line="277" w:lineRule="auto"/>
        <w:rPr>
          <w:rFonts w:ascii="Arial" w:cs="Arial" w:eastAsia="Arial" w:hAnsi="Arial"/>
          <w:sz w:val="17"/>
          <w:szCs w:val="17"/>
          <w:color w:val="auto"/>
        </w:rPr>
      </w:pPr>
      <w:r>
        <w:rPr>
          <w:rFonts w:ascii="Arial" w:cs="Arial" w:eastAsia="Arial" w:hAnsi="Arial"/>
          <w:sz w:val="18"/>
          <w:szCs w:val="18"/>
          <w:color w:val="auto"/>
        </w:rPr>
        <w:t>As of June 30, 2015, our assets that are measured at fair value on a recurring basis and whose carrying values approximate their respective fair values include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80" w:type="dxa"/>
            <w:vAlign w:val="bottom"/>
            <w:gridSpan w:val="8"/>
          </w:tcPr>
          <w:p>
            <w:pPr>
              <w:jc w:val="center"/>
              <w:ind w:right="260"/>
              <w:spacing w:after="0"/>
              <w:rPr>
                <w:sz w:val="20"/>
                <w:szCs w:val="20"/>
                <w:color w:val="auto"/>
              </w:rPr>
            </w:pPr>
            <w:r>
              <w:rPr>
                <w:rFonts w:ascii="Arial" w:cs="Arial" w:eastAsia="Arial" w:hAnsi="Arial"/>
                <w:sz w:val="18"/>
                <w:szCs w:val="18"/>
                <w:color w:val="auto"/>
                <w:w w:val="89"/>
              </w:rPr>
              <w:t>Fair Value Measurement at June 30, 2015 Using:</w:t>
            </w:r>
          </w:p>
        </w:tc>
        <w:tc>
          <w:tcPr>
            <w:tcW w:w="0" w:type="dxa"/>
            <w:vAlign w:val="bottom"/>
          </w:tcPr>
          <w:p>
            <w:pPr>
              <w:spacing w:after="0"/>
              <w:rPr>
                <w:sz w:val="1"/>
                <w:szCs w:val="1"/>
                <w:color w:val="auto"/>
              </w:rPr>
            </w:pPr>
          </w:p>
        </w:tc>
      </w:tr>
      <w:tr>
        <w:trPr>
          <w:trHeight w:val="202"/>
        </w:trPr>
        <w:tc>
          <w:tcPr>
            <w:tcW w:w="5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jc w:val="center"/>
              <w:ind w:right="540"/>
              <w:spacing w:after="0" w:line="201" w:lineRule="exact"/>
              <w:rPr>
                <w:sz w:val="20"/>
                <w:szCs w:val="20"/>
                <w:color w:val="auto"/>
              </w:rPr>
            </w:pPr>
            <w:r>
              <w:rPr>
                <w:rFonts w:ascii="Arial" w:cs="Arial" w:eastAsia="Arial" w:hAnsi="Arial"/>
                <w:sz w:val="18"/>
                <w:szCs w:val="18"/>
                <w:color w:val="auto"/>
                <w:w w:val="90"/>
              </w:rPr>
              <w:t>Quoted Prices in</w:t>
            </w:r>
          </w:p>
        </w:tc>
        <w:tc>
          <w:tcPr>
            <w:tcW w:w="14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40" w:type="dxa"/>
            <w:vAlign w:val="bottom"/>
            <w:gridSpan w:val="3"/>
          </w:tcPr>
          <w:p>
            <w:pPr>
              <w:jc w:val="center"/>
              <w:ind w:right="440"/>
              <w:spacing w:after="0"/>
              <w:rPr>
                <w:sz w:val="20"/>
                <w:szCs w:val="20"/>
                <w:color w:val="auto"/>
              </w:rPr>
            </w:pPr>
            <w:r>
              <w:rPr>
                <w:rFonts w:ascii="Arial" w:cs="Arial" w:eastAsia="Arial" w:hAnsi="Arial"/>
                <w:sz w:val="18"/>
                <w:szCs w:val="18"/>
                <w:color w:val="auto"/>
                <w:w w:val="95"/>
              </w:rPr>
              <w:t>Active Markets for</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Significant Other</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Unobservable</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Identical Assets</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Observable Inputs</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(Level 1)</w:t>
            </w:r>
          </w:p>
        </w:tc>
        <w:tc>
          <w:tcPr>
            <w:tcW w:w="1420" w:type="dxa"/>
            <w:vAlign w:val="bottom"/>
          </w:tcPr>
          <w:p>
            <w:pPr>
              <w:jc w:val="right"/>
              <w:ind w:right="216"/>
              <w:spacing w:after="0"/>
              <w:rPr>
                <w:sz w:val="20"/>
                <w:szCs w:val="20"/>
                <w:color w:val="auto"/>
              </w:rPr>
            </w:pPr>
            <w:r>
              <w:rPr>
                <w:rFonts w:ascii="Arial" w:cs="Arial" w:eastAsia="Arial" w:hAnsi="Arial"/>
                <w:sz w:val="18"/>
                <w:szCs w:val="18"/>
                <w:color w:val="auto"/>
              </w:rPr>
              <w:t>(Level 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32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02"/>
        </w:trPr>
        <w:tc>
          <w:tcPr>
            <w:tcW w:w="5200" w:type="dxa"/>
            <w:vAlign w:val="bottom"/>
          </w:tcPr>
          <w:p>
            <w:pPr>
              <w:ind w:left="360"/>
              <w:spacing w:after="0" w:line="201" w:lineRule="exact"/>
              <w:rPr>
                <w:sz w:val="20"/>
                <w:szCs w:val="20"/>
                <w:color w:val="auto"/>
              </w:rPr>
            </w:pPr>
            <w:r>
              <w:rPr>
                <w:rFonts w:ascii="Arial" w:cs="Arial" w:eastAsia="Arial" w:hAnsi="Arial"/>
                <w:sz w:val="18"/>
                <w:szCs w:val="18"/>
                <w:color w:val="auto"/>
              </w:rPr>
              <w:t>Corporate debt securities</w:t>
            </w:r>
          </w:p>
        </w:tc>
        <w:tc>
          <w:tcPr>
            <w:tcW w:w="72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856</w:t>
            </w:r>
          </w:p>
        </w:tc>
        <w:tc>
          <w:tcPr>
            <w:tcW w:w="460" w:type="dxa"/>
            <w:vAlign w:val="bottom"/>
          </w:tcPr>
          <w:p>
            <w:pPr>
              <w:spacing w:after="0"/>
              <w:rPr>
                <w:sz w:val="17"/>
                <w:szCs w:val="17"/>
                <w:color w:val="auto"/>
              </w:rPr>
            </w:pPr>
          </w:p>
        </w:tc>
        <w:tc>
          <w:tcPr>
            <w:tcW w:w="1420" w:type="dxa"/>
            <w:vAlign w:val="bottom"/>
            <w:tcBorders>
              <w:top w:val="single" w:sz="8" w:color="auto"/>
            </w:tcBorders>
          </w:tcPr>
          <w:p>
            <w:pPr>
              <w:jc w:val="right"/>
              <w:ind w:right="125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200" w:type="dxa"/>
            <w:vAlign w:val="bottom"/>
          </w:tcPr>
          <w:p>
            <w:pPr>
              <w:ind w:left="360"/>
              <w:spacing w:after="0"/>
              <w:rPr>
                <w:sz w:val="20"/>
                <w:szCs w:val="20"/>
                <w:color w:val="auto"/>
              </w:rPr>
            </w:pPr>
            <w:r>
              <w:rPr>
                <w:rFonts w:ascii="Arial" w:cs="Arial" w:eastAsia="Arial" w:hAnsi="Arial"/>
                <w:sz w:val="18"/>
                <w:szCs w:val="18"/>
                <w:color w:val="auto"/>
                <w:w w:val="99"/>
              </w:rPr>
              <w:t>Money market funds (included in cash and cash equivalents)</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34,311</w:t>
            </w:r>
          </w:p>
        </w:tc>
        <w:tc>
          <w:tcPr>
            <w:tcW w:w="1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560"/>
              <w:spacing w:after="0" w:line="203" w:lineRule="exact"/>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35,167</w:t>
            </w:r>
          </w:p>
        </w:tc>
        <w:tc>
          <w:tcPr>
            <w:tcW w:w="46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25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520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36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14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3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 w:name="page7"/>
    <w:bookmarkEnd w:id="6"/>
    <w:p>
      <w:pPr>
        <w:ind w:left="340"/>
        <w:spacing w:after="0" w:line="277" w:lineRule="auto"/>
        <w:rPr>
          <w:sz w:val="20"/>
          <w:szCs w:val="20"/>
          <w:color w:val="auto"/>
        </w:rPr>
      </w:pPr>
      <w:r>
        <w:rPr>
          <w:rFonts w:ascii="Arial" w:cs="Arial" w:eastAsia="Arial" w:hAnsi="Arial"/>
          <w:sz w:val="18"/>
          <w:szCs w:val="18"/>
          <w:color w:val="auto"/>
        </w:rPr>
        <w:t>As of December 31, 2014, our assets that are measured at fair value on a recurring basis and whose carrying values approximate their respective fair values include the following (in thousands):</w:t>
      </w:r>
    </w:p>
    <w:p>
      <w:pPr>
        <w:sectPr>
          <w:pgSz w:w="11900" w:h="16838" w:orient="portrait"/>
          <w:cols w:equalWidth="0" w:num="1">
            <w:col w:w="11420"/>
          </w:cols>
          <w:pgMar w:left="240" w:top="8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Corporate debt securities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Money market funds (included in cash and cash equivalents)</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Fair Value Measurement at December 31, 2014 Using: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0"/>
              </w:rPr>
              <w:t>Quoted Prices in</w:t>
            </w:r>
          </w:p>
        </w:tc>
        <w:tc>
          <w:tcPr>
            <w:tcW w:w="14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6"/>
              </w:rPr>
              <w:t>Significant</w:t>
            </w:r>
          </w:p>
        </w:tc>
        <w:tc>
          <w:tcPr>
            <w:tcW w:w="100" w:type="dxa"/>
            <w:vAlign w:val="bottom"/>
            <w:tcBorders>
              <w:top w:val="single" w:sz="8" w:color="auto"/>
            </w:tcBorders>
          </w:tcPr>
          <w:p>
            <w:pPr>
              <w:spacing w:after="0"/>
              <w:rPr>
                <w:sz w:val="18"/>
                <w:szCs w:val="18"/>
                <w:color w:val="auto"/>
              </w:rPr>
            </w:pPr>
          </w:p>
        </w:tc>
      </w:tr>
      <w:tr>
        <w:trPr>
          <w:trHeight w:val="216"/>
        </w:trPr>
        <w:tc>
          <w:tcPr>
            <w:tcW w:w="1940" w:type="dxa"/>
            <w:vAlign w:val="bottom"/>
            <w:gridSpan w:val="3"/>
          </w:tcPr>
          <w:p>
            <w:pPr>
              <w:jc w:val="center"/>
              <w:ind w:right="440"/>
              <w:spacing w:after="0"/>
              <w:rPr>
                <w:sz w:val="20"/>
                <w:szCs w:val="20"/>
                <w:color w:val="auto"/>
              </w:rPr>
            </w:pPr>
            <w:r>
              <w:rPr>
                <w:rFonts w:ascii="Arial" w:cs="Arial" w:eastAsia="Arial" w:hAnsi="Arial"/>
                <w:sz w:val="18"/>
                <w:szCs w:val="18"/>
                <w:color w:val="auto"/>
                <w:w w:val="95"/>
              </w:rPr>
              <w:t>Active Markets for</w:t>
            </w:r>
          </w:p>
        </w:tc>
        <w:tc>
          <w:tcPr>
            <w:tcW w:w="1420" w:type="dxa"/>
            <w:vAlign w:val="bottom"/>
          </w:tcPr>
          <w:p>
            <w:pPr>
              <w:jc w:val="right"/>
              <w:spacing w:after="0"/>
              <w:rPr>
                <w:sz w:val="20"/>
                <w:szCs w:val="20"/>
                <w:color w:val="auto"/>
              </w:rPr>
            </w:pPr>
            <w:r>
              <w:rPr>
                <w:rFonts w:ascii="Arial" w:cs="Arial" w:eastAsia="Arial" w:hAnsi="Arial"/>
                <w:sz w:val="18"/>
                <w:szCs w:val="18"/>
                <w:color w:val="auto"/>
                <w:w w:val="99"/>
              </w:rPr>
              <w:t>Significant Other</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Unobservable</w:t>
            </w:r>
          </w:p>
        </w:tc>
        <w:tc>
          <w:tcPr>
            <w:tcW w:w="10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Identical Assets</w:t>
            </w:r>
          </w:p>
        </w:tc>
        <w:tc>
          <w:tcPr>
            <w:tcW w:w="1420" w:type="dxa"/>
            <w:vAlign w:val="bottom"/>
          </w:tcPr>
          <w:p>
            <w:pPr>
              <w:jc w:val="right"/>
              <w:spacing w:after="0"/>
              <w:rPr>
                <w:sz w:val="20"/>
                <w:szCs w:val="20"/>
                <w:color w:val="auto"/>
              </w:rPr>
            </w:pPr>
            <w:r>
              <w:rPr>
                <w:rFonts w:ascii="Arial" w:cs="Arial" w:eastAsia="Arial" w:hAnsi="Arial"/>
                <w:sz w:val="18"/>
                <w:szCs w:val="18"/>
                <w:color w:val="auto"/>
                <w:w w:val="94"/>
              </w:rPr>
              <w:t>Observable Inputs</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Inputs</w:t>
            </w:r>
          </w:p>
        </w:tc>
        <w:tc>
          <w:tcPr>
            <w:tcW w:w="100" w:type="dxa"/>
            <w:vAlign w:val="bottom"/>
          </w:tcPr>
          <w:p>
            <w:pPr>
              <w:spacing w:after="0"/>
              <w:rPr>
                <w:sz w:val="19"/>
                <w:szCs w:val="19"/>
                <w:color w:val="auto"/>
              </w:rPr>
            </w:pPr>
          </w:p>
        </w:tc>
      </w:tr>
      <w:tr>
        <w:trPr>
          <w:trHeight w:val="237"/>
        </w:trPr>
        <w:tc>
          <w:tcPr>
            <w:tcW w:w="120" w:type="dxa"/>
            <w:vAlign w:val="bottom"/>
          </w:tcPr>
          <w:p>
            <w:pPr>
              <w:spacing w:after="0"/>
              <w:rPr>
                <w:sz w:val="20"/>
                <w:szCs w:val="20"/>
                <w:color w:val="auto"/>
              </w:rPr>
            </w:pPr>
          </w:p>
        </w:tc>
        <w:tc>
          <w:tcPr>
            <w:tcW w:w="1820" w:type="dxa"/>
            <w:vAlign w:val="bottom"/>
            <w:gridSpan w:val="2"/>
          </w:tcPr>
          <w:p>
            <w:pPr>
              <w:jc w:val="right"/>
              <w:ind w:right="800"/>
              <w:spacing w:after="0"/>
              <w:rPr>
                <w:sz w:val="20"/>
                <w:szCs w:val="20"/>
                <w:color w:val="auto"/>
              </w:rPr>
            </w:pPr>
            <w:r>
              <w:rPr>
                <w:rFonts w:ascii="Arial" w:cs="Arial" w:eastAsia="Arial" w:hAnsi="Arial"/>
                <w:sz w:val="18"/>
                <w:szCs w:val="18"/>
                <w:color w:val="auto"/>
              </w:rPr>
              <w:t>(Level 1)</w:t>
            </w:r>
          </w:p>
        </w:tc>
        <w:tc>
          <w:tcPr>
            <w:tcW w:w="1420" w:type="dxa"/>
            <w:vAlign w:val="bottom"/>
          </w:tcPr>
          <w:p>
            <w:pPr>
              <w:jc w:val="right"/>
              <w:ind w:right="216"/>
              <w:spacing w:after="0"/>
              <w:rPr>
                <w:sz w:val="20"/>
                <w:szCs w:val="20"/>
                <w:color w:val="auto"/>
              </w:rPr>
            </w:pPr>
            <w:r>
              <w:rPr>
                <w:rFonts w:ascii="Arial" w:cs="Arial" w:eastAsia="Arial" w:hAnsi="Arial"/>
                <w:sz w:val="18"/>
                <w:szCs w:val="18"/>
                <w:color w:val="auto"/>
              </w:rPr>
              <w:t>(Level 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r>
      <w:tr>
        <w:trPr>
          <w:trHeight w:val="215"/>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460" w:type="dxa"/>
            <w:vAlign w:val="bottom"/>
          </w:tcPr>
          <w:p>
            <w:pPr>
              <w:spacing w:after="0"/>
              <w:rPr>
                <w:sz w:val="18"/>
                <w:szCs w:val="18"/>
                <w:color w:val="auto"/>
              </w:rPr>
            </w:pPr>
          </w:p>
        </w:tc>
        <w:tc>
          <w:tcPr>
            <w:tcW w:w="1420" w:type="dxa"/>
            <w:vAlign w:val="bottom"/>
            <w:tcBorders>
              <w:top w:val="single" w:sz="8" w:color="auto"/>
            </w:tcBorders>
          </w:tcPr>
          <w:p>
            <w:pPr>
              <w:jc w:val="right"/>
              <w:ind w:right="125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20" w:type="dxa"/>
            <w:vAlign w:val="bottom"/>
          </w:tcPr>
          <w:p>
            <w:pPr>
              <w:spacing w:after="0"/>
              <w:rPr>
                <w:sz w:val="20"/>
                <w:szCs w:val="20"/>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34,339</w:t>
            </w: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35,767</w:t>
            </w:r>
          </w:p>
        </w:tc>
        <w:tc>
          <w:tcPr>
            <w:tcW w:w="46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25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00" w:space="720"/>
            <w:col w:w="5500"/>
          </w:cols>
          <w:pgMar w:left="240" w:top="868" w:right="239" w:bottom="1440" w:gutter="0" w:footer="0" w:header="0"/>
          <w:type w:val="continuous"/>
        </w:sectPr>
      </w:pPr>
    </w:p>
    <w:p>
      <w:pPr>
        <w:spacing w:after="0" w:line="2" w:lineRule="exact"/>
        <w:rPr>
          <w:sz w:val="20"/>
          <w:szCs w:val="20"/>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or net realizable value with cost being determined by the first-in, first-out (“FIFO”)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Inventory balances at June 30, 2015 and December 31, 2014 were immaterial and consisted of spare parts.</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 of Earnings per Share. </w:t>
      </w:r>
      <w:r>
        <w:rPr>
          <w:rFonts w:ascii="Arial" w:cs="Arial" w:eastAsia="Arial" w:hAnsi="Arial"/>
          <w:sz w:val="18"/>
          <w:szCs w:val="18"/>
          <w:color w:val="auto"/>
        </w:rPr>
        <w:t>Basic earnings per share is computed by dividing net income or loss by the weighted 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per share is calculated as follows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13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1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865</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1,746</w:t>
            </w:r>
          </w:p>
        </w:tc>
      </w:tr>
      <w:tr>
        <w:trPr>
          <w:trHeight w:val="392"/>
        </w:trPr>
        <w:tc>
          <w:tcPr>
            <w:tcW w:w="4660" w:type="dxa"/>
            <w:vAlign w:val="bottom"/>
            <w:gridSpan w:val="2"/>
          </w:tcPr>
          <w:p>
            <w:pPr>
              <w:spacing w:after="0"/>
              <w:rPr>
                <w:sz w:val="20"/>
                <w:szCs w:val="20"/>
                <w:color w:val="auto"/>
              </w:rPr>
            </w:pPr>
            <w:r>
              <w:rPr>
                <w:rFonts w:ascii="Arial" w:cs="Arial" w:eastAsia="Arial" w:hAnsi="Arial"/>
                <w:sz w:val="18"/>
                <w:szCs w:val="18"/>
                <w:color w:val="auto"/>
              </w:rPr>
              <w:t>Shares outstanding: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22,867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22,630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22,866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22,628</w:t>
            </w: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color w:val="auto"/>
              </w:rPr>
              <w:t>Additional dilutive common stock equivalents</w:t>
            </w: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Diluted shares outstanding</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22,769</w:t>
            </w:r>
          </w:p>
        </w:tc>
      </w:tr>
      <w:tr>
        <w:trPr>
          <w:trHeight w:val="21"/>
        </w:trPr>
        <w:tc>
          <w:tcPr>
            <w:tcW w:w="1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1"/>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 per share – 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three month periods ended June 30, 2015 and 2014, options to purchase 54,034 and 821,838 shares of common stock were outstanding, but were not included in the computation of diluted EPS because the options’ exercise prices were greater than the average market price of the common stock and thus would be anti-dilutive.</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six month periods ended June 30, 2015 and 2014, options to purchase 54,034 and 821,838 shares of common stock, respectively, were outstanding, but were not included in the computation of diluted EPS because the options’ exercise prices were greater than the average market price of the common stock and thus would be anti-dilutive.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type w:val="continuous"/>
        </w:sectPr>
      </w:pPr>
    </w:p>
    <w:bookmarkStart w:id="7" w:name="page8"/>
    <w:bookmarkEnd w:id="7"/>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following table presents stock-based employee compensation expenses included in our unaudited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comprehensive income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48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6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418"/>
        </w:trPr>
        <w:tc>
          <w:tcPr>
            <w:tcW w:w="4660" w:type="dxa"/>
            <w:vAlign w:val="bottom"/>
          </w:tcPr>
          <w:p>
            <w:pPr>
              <w:spacing w:after="0"/>
              <w:rPr>
                <w:sz w:val="20"/>
                <w:szCs w:val="20"/>
                <w:color w:val="auto"/>
              </w:rPr>
            </w:pPr>
            <w:r>
              <w:rPr>
                <w:rFonts w:ascii="Arial" w:cs="Arial" w:eastAsia="Arial" w:hAnsi="Arial"/>
                <w:sz w:val="18"/>
                <w:szCs w:val="18"/>
                <w:color w:val="auto"/>
              </w:rPr>
              <w:t>Cost of services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06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Selling and marketing</w:t>
            </w:r>
          </w:p>
        </w:tc>
        <w:tc>
          <w:tcPr>
            <w:tcW w:w="9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466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1"/>
        </w:trPr>
        <w:tc>
          <w:tcPr>
            <w:tcW w:w="4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Stock Option Grants</w:t>
      </w:r>
      <w:r>
        <w:rPr>
          <w:rFonts w:ascii="Arial" w:cs="Arial" w:eastAsia="Arial" w:hAnsi="Arial"/>
          <w:sz w:val="18"/>
          <w:szCs w:val="18"/>
          <w:color w:val="auto"/>
        </w:rPr>
        <w:t>. We may grant stock options under our 2001 Nonqualified Stock Plan although we have not granted any stock options since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2012. When we grant stock options, we estimate their fair value using the Black-Scholes valuation model. This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Estimates of fair value are not intended to predict actual future events or the value ultimately realized by persons who receive equity awards.</w:t>
      </w:r>
    </w:p>
    <w:p>
      <w:pPr>
        <w:spacing w:after="0" w:line="18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We also grant unrestricted shares of stock under our 2001 Nonqualified Stock Plan. Stock-based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grants is determined based on the fair market value of our stock on the date of grant, provided the number of shares in the grant is fixed on the grant date.</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granted shares of unrestricted stock in 2015 and 2014 that affected financial results for the three and six month periods ended June 30, 2015 and 2014. These grants are described below.</w:t>
      </w:r>
    </w:p>
    <w:p>
      <w:pPr>
        <w:spacing w:after="0" w:line="17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2015 Grant. </w:t>
      </w:r>
      <w:r>
        <w:rPr>
          <w:rFonts w:ascii="Arial" w:cs="Arial" w:eastAsia="Arial" w:hAnsi="Arial"/>
          <w:sz w:val="18"/>
          <w:szCs w:val="18"/>
          <w:color w:val="auto"/>
        </w:rPr>
        <w:t>On March 26, 2015, we granted 152,000 shares of unrestricted stock to directors, officers and employees. Half of those shares were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1, 2015 and the remaining 76,000 shares will be issued shortly after December 31, 2015, provided each grantee is serving as a director, officer or employee on that date. The total stock-based compensation expense related to this grant is $682,000, of which $221,000 and $236,000 was charged to expense in the three and six months ended June 30, 2015, respectively. We anticipate the remaining $446,000 will be charged to expense ratably over the remaining two quarters of 2015.</w:t>
      </w:r>
    </w:p>
    <w:p>
      <w:pPr>
        <w:spacing w:after="0" w:line="188" w:lineRule="exact"/>
        <w:rPr>
          <w:sz w:val="20"/>
          <w:szCs w:val="20"/>
          <w:color w:val="auto"/>
        </w:rPr>
      </w:pPr>
    </w:p>
    <w:p>
      <w:pPr>
        <w:jc w:val="both"/>
        <w:ind w:left="500"/>
        <w:spacing w:after="0" w:line="297" w:lineRule="auto"/>
        <w:rPr>
          <w:sz w:val="20"/>
          <w:szCs w:val="20"/>
          <w:color w:val="auto"/>
        </w:rPr>
      </w:pPr>
      <w:r>
        <w:rPr>
          <w:rFonts w:ascii="Arial" w:cs="Arial" w:eastAsia="Arial" w:hAnsi="Arial"/>
          <w:sz w:val="16"/>
          <w:szCs w:val="16"/>
          <w:i w:val="1"/>
          <w:iCs w:val="1"/>
          <w:color w:val="auto"/>
        </w:rPr>
        <w:t>2014 Grant</w:t>
      </w:r>
      <w:r>
        <w:rPr>
          <w:rFonts w:ascii="Arial" w:cs="Arial" w:eastAsia="Arial" w:hAnsi="Arial"/>
          <w:sz w:val="16"/>
          <w:szCs w:val="16"/>
          <w:color w:val="auto"/>
        </w:rPr>
        <w:t>. In March 2014, we granted 152,000 shares of unrestricted stock to directors, officers and employees. The shares were issued in two equal</w:t>
      </w:r>
      <w:r>
        <w:rPr>
          <w:rFonts w:ascii="Arial" w:cs="Arial" w:eastAsia="Arial" w:hAnsi="Arial"/>
          <w:sz w:val="16"/>
          <w:szCs w:val="16"/>
          <w:i w:val="1"/>
          <w:iCs w:val="1"/>
          <w:color w:val="auto"/>
        </w:rPr>
        <w:t xml:space="preserve"> </w:t>
      </w:r>
      <w:r>
        <w:rPr>
          <w:rFonts w:ascii="Arial" w:cs="Arial" w:eastAsia="Arial" w:hAnsi="Arial"/>
          <w:sz w:val="16"/>
          <w:szCs w:val="16"/>
          <w:color w:val="auto"/>
        </w:rPr>
        <w:t>installments shortly after June 30, 2014 and December 31, 2014. We expensed the entire $876,000 stock-based compensation expense related to this grant in 2014. We issued shares of common stock related to this grant as follows: i) 58,769 net shares of common stock were issued in early July 2014 after employees surrendered 17,231 shares for which we paid $113,000 of withholding taxes on their behalf; and ii) 56,804 net shares of common stock were issued in early January 2015 after employees surrendered 19,196 shares for which we paid $87,000 of withholding taxes on their behalf.</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 w:name="page9"/>
    <w:bookmarkEnd w:id="8"/>
    <w:p>
      <w:pPr>
        <w:spacing w:after="0"/>
        <w:tabs>
          <w:tab w:leader="none" w:pos="32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5"/>
          <w:szCs w:val="15"/>
          <w:b w:val="1"/>
          <w:bCs w:val="1"/>
          <w:i w:val="1"/>
          <w:iCs w:val="1"/>
          <w:color w:val="auto"/>
        </w:rPr>
        <w:t>Business Segments</w:t>
      </w:r>
      <w:r>
        <w:rPr>
          <w:rFonts w:ascii="Arial" w:cs="Arial" w:eastAsia="Arial" w:hAnsi="Arial"/>
          <w:sz w:val="15"/>
          <w:szCs w:val="15"/>
          <w:color w:val="auto"/>
        </w:rPr>
        <w:t>. We organize ourselves into a single segment that reports to the chief operating decision makers.</w:t>
      </w:r>
    </w:p>
    <w:p>
      <w:pPr>
        <w:spacing w:after="0" w:line="22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We conduct our operations in the United States and sell our products and services to domestic and international customers. Revenues were generated from the following geographic regions for the three and six months ended June 30, 2015 and 2014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2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r>
      <w:tr>
        <w:trPr>
          <w:trHeight w:val="418"/>
        </w:trPr>
        <w:tc>
          <w:tcPr>
            <w:tcW w:w="2560" w:type="dxa"/>
            <w:vAlign w:val="bottom"/>
          </w:tcPr>
          <w:p>
            <w:pPr>
              <w:spacing w:after="0"/>
              <w:rPr>
                <w:sz w:val="20"/>
                <w:szCs w:val="20"/>
                <w:color w:val="auto"/>
              </w:rPr>
            </w:pPr>
            <w:r>
              <w:rPr>
                <w:rFonts w:ascii="Arial" w:cs="Arial" w:eastAsia="Arial" w:hAnsi="Arial"/>
                <w:sz w:val="18"/>
                <w:szCs w:val="18"/>
                <w:color w:val="auto"/>
              </w:rPr>
              <w:t>United States</w:t>
            </w:r>
          </w:p>
        </w:tc>
        <w:tc>
          <w:tcPr>
            <w:tcW w:w="2380" w:type="dxa"/>
            <w:vAlign w:val="bottom"/>
            <w:gridSpan w:val="2"/>
          </w:tcPr>
          <w:p>
            <w:pPr>
              <w:jc w:val="right"/>
              <w:ind w:right="65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2,526</w:t>
            </w:r>
          </w:p>
        </w:tc>
        <w:tc>
          <w:tcPr>
            <w:tcW w:w="100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5,295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5,014</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10,791</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Brazil</w:t>
            </w:r>
          </w:p>
        </w:tc>
        <w:tc>
          <w:tcPr>
            <w:tcW w:w="1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928</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1,654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r>
      <w:tr>
        <w:trPr>
          <w:trHeight w:val="237"/>
        </w:trPr>
        <w:tc>
          <w:tcPr>
            <w:tcW w:w="2560" w:type="dxa"/>
            <w:vAlign w:val="bottom"/>
          </w:tcPr>
          <w:p>
            <w:pPr>
              <w:spacing w:after="0"/>
              <w:rPr>
                <w:sz w:val="20"/>
                <w:szCs w:val="20"/>
                <w:color w:val="auto"/>
              </w:rPr>
            </w:pPr>
            <w:r>
              <w:rPr>
                <w:rFonts w:ascii="Arial" w:cs="Arial" w:eastAsia="Arial" w:hAnsi="Arial"/>
                <w:sz w:val="18"/>
                <w:szCs w:val="18"/>
                <w:color w:val="auto"/>
              </w:rPr>
              <w:t>Rest of World</w:t>
            </w:r>
          </w:p>
        </w:tc>
        <w:tc>
          <w:tcPr>
            <w:tcW w:w="1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1,056</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1,074</w:t>
            </w:r>
          </w:p>
        </w:tc>
        <w:tc>
          <w:tcPr>
            <w:tcW w:w="2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1,965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2,156</w:t>
            </w:r>
          </w:p>
        </w:tc>
        <w:tc>
          <w:tcPr>
            <w:tcW w:w="20" w:type="dxa"/>
            <w:vAlign w:val="bottom"/>
          </w:tcPr>
          <w:p>
            <w:pPr>
              <w:spacing w:after="0"/>
              <w:rPr>
                <w:sz w:val="20"/>
                <w:szCs w:val="20"/>
                <w:color w:val="auto"/>
              </w:rPr>
            </w:pPr>
          </w:p>
        </w:tc>
      </w:tr>
      <w:tr>
        <w:trPr>
          <w:trHeight w:val="216"/>
        </w:trPr>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4,510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6,767</w:t>
            </w:r>
          </w:p>
        </w:tc>
        <w:tc>
          <w:tcPr>
            <w:tcW w:w="3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13,384</w:t>
            </w:r>
          </w:p>
        </w:tc>
        <w:tc>
          <w:tcPr>
            <w:tcW w:w="20" w:type="dxa"/>
            <w:vAlign w:val="bottom"/>
            <w:tcBorders>
              <w:bottom w:val="single" w:sz="8" w:color="auto"/>
            </w:tcBorders>
          </w:tcPr>
          <w:p>
            <w:pPr>
              <w:spacing w:after="0"/>
              <w:rPr>
                <w:sz w:val="18"/>
                <w:szCs w:val="18"/>
                <w:color w:val="auto"/>
              </w:rPr>
            </w:pPr>
          </w:p>
        </w:tc>
      </w:tr>
      <w:tr>
        <w:trPr>
          <w:trHeight w:val="21"/>
        </w:trPr>
        <w:tc>
          <w:tcPr>
            <w:tcW w:w="2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product group for the three and six months ended June 30, 2015 and 2014 was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2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r>
      <w:tr>
        <w:trPr>
          <w:trHeight w:val="418"/>
        </w:trPr>
        <w:tc>
          <w:tcPr>
            <w:tcW w:w="2560" w:type="dxa"/>
            <w:vAlign w:val="bottom"/>
          </w:tcPr>
          <w:p>
            <w:pPr>
              <w:spacing w:after="0"/>
              <w:rPr>
                <w:sz w:val="20"/>
                <w:szCs w:val="20"/>
                <w:color w:val="auto"/>
              </w:rPr>
            </w:pPr>
            <w:r>
              <w:rPr>
                <w:rFonts w:ascii="Arial" w:cs="Arial" w:eastAsia="Arial" w:hAnsi="Arial"/>
                <w:sz w:val="18"/>
                <w:szCs w:val="18"/>
                <w:color w:val="auto"/>
              </w:rPr>
              <w:t>Biometrics</w:t>
            </w:r>
          </w:p>
        </w:tc>
        <w:tc>
          <w:tcPr>
            <w:tcW w:w="2380" w:type="dxa"/>
            <w:vAlign w:val="bottom"/>
            <w:gridSpan w:val="2"/>
          </w:tcPr>
          <w:p>
            <w:pPr>
              <w:jc w:val="right"/>
              <w:ind w:right="65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3,883</w:t>
            </w:r>
          </w:p>
        </w:tc>
        <w:tc>
          <w:tcPr>
            <w:tcW w:w="100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6,029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7,731</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12,210</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Imaging</w:t>
            </w:r>
          </w:p>
        </w:tc>
        <w:tc>
          <w:tcPr>
            <w:tcW w:w="1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18"/>
                <w:szCs w:val="18"/>
                <w:color w:val="auto"/>
              </w:rPr>
            </w:pPr>
          </w:p>
        </w:tc>
      </w:tr>
      <w:tr>
        <w:trPr>
          <w:trHeight w:val="237"/>
        </w:trPr>
        <w:tc>
          <w:tcPr>
            <w:tcW w:w="2560" w:type="dxa"/>
            <w:vAlign w:val="bottom"/>
          </w:tcPr>
          <w:p>
            <w:pPr>
              <w:spacing w:after="0"/>
              <w:rPr>
                <w:sz w:val="20"/>
                <w:szCs w:val="20"/>
                <w:color w:val="auto"/>
              </w:rPr>
            </w:pPr>
            <w:r>
              <w:rPr>
                <w:rFonts w:ascii="Arial" w:cs="Arial" w:eastAsia="Arial" w:hAnsi="Arial"/>
                <w:sz w:val="18"/>
                <w:szCs w:val="18"/>
                <w:color w:val="auto"/>
              </w:rPr>
              <w:t>DSL royalties</w:t>
            </w:r>
          </w:p>
        </w:tc>
        <w:tc>
          <w:tcPr>
            <w:tcW w:w="1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20"/>
                <w:szCs w:val="20"/>
                <w:color w:val="auto"/>
              </w:rPr>
            </w:pPr>
          </w:p>
        </w:tc>
      </w:tr>
      <w:tr>
        <w:trPr>
          <w:trHeight w:val="216"/>
        </w:trPr>
        <w:tc>
          <w:tcPr>
            <w:tcW w:w="2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4,510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6,767</w:t>
            </w:r>
          </w:p>
        </w:tc>
        <w:tc>
          <w:tcPr>
            <w:tcW w:w="3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13,384</w:t>
            </w:r>
          </w:p>
        </w:tc>
        <w:tc>
          <w:tcPr>
            <w:tcW w:w="20" w:type="dxa"/>
            <w:vAlign w:val="bottom"/>
            <w:tcBorders>
              <w:bottom w:val="single" w:sz="8" w:color="auto"/>
            </w:tcBorders>
          </w:tcPr>
          <w:p>
            <w:pPr>
              <w:spacing w:after="0"/>
              <w:rPr>
                <w:sz w:val="18"/>
                <w:szCs w:val="18"/>
                <w:color w:val="auto"/>
              </w:rPr>
            </w:pPr>
          </w:p>
        </w:tc>
      </w:tr>
      <w:tr>
        <w:trPr>
          <w:trHeight w:val="21"/>
        </w:trPr>
        <w:tc>
          <w:tcPr>
            <w:tcW w:w="2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88"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In May 2014, the FASB issued ASU 2014-09, Revenue from Contracts with Customers (Topic 606). The ASU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result of a joint project by the FASB and the International Accounting Standards Board (“IASB”) to clarify the principles for recognizing revenue and to develop a common revenue standard for GAAP and International Financial Reporting Standards (“IFRS”) that would: remove inconsistencies and weaknesses, provide a more robust framework for addressing revenue issues, improve comparability of revenue recognition practices across entities, jurisdictions, industries, and capital markets, improve disclosure requirements and resulting financial statements, and simplify the presentation of financial statements. The core principle of the new guidance is that an entity should recognize revenue to depict the transfer of promised goods or services to customers in an amount that reflects the consideration to which the entity expects to be entitled in exchange for those goods or services. The ASU is effective for annual reporting periods beginning after December 15, 2016. Early adoption is not permitted. On July 9, 2015, the FASB voted to delay the effective date of the new revenue standard by one year, but to permit entities to choose to adopt the standard as of the original effective date. We are currently evaluating the effect that the updated standard will have on our consolidated financial statements and related disclosures.</w:t>
      </w:r>
    </w:p>
    <w:p>
      <w:pPr>
        <w:spacing w:after="0" w:line="169" w:lineRule="exact"/>
        <w:rPr>
          <w:rFonts w:ascii="Arial" w:cs="Arial" w:eastAsia="Arial" w:hAnsi="Arial"/>
          <w:sz w:val="16"/>
          <w:szCs w:val="16"/>
          <w:color w:val="auto"/>
        </w:rPr>
      </w:pPr>
    </w:p>
    <w:p>
      <w:pPr>
        <w:ind w:left="340" w:right="20"/>
        <w:spacing w:after="0" w:line="277" w:lineRule="auto"/>
        <w:rPr>
          <w:rFonts w:ascii="Arial" w:cs="Arial" w:eastAsia="Arial" w:hAnsi="Arial"/>
          <w:sz w:val="16"/>
          <w:szCs w:val="16"/>
          <w:color w:val="auto"/>
        </w:rPr>
      </w:pPr>
      <w:r>
        <w:rPr>
          <w:rFonts w:ascii="Arial" w:cs="Arial" w:eastAsia="Arial" w:hAnsi="Arial"/>
          <w:sz w:val="18"/>
          <w:szCs w:val="18"/>
          <w:color w:val="auto"/>
        </w:rPr>
        <w:t>With the exception of the new revenue standard discussed above, there have been no other recently issued accounting pronouncements that are of significance or potential significance to us that we have not adopted as of June 30, 2015.</w:t>
      </w:r>
    </w:p>
    <w:p>
      <w:pPr>
        <w:spacing w:after="0" w:line="170"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expense was $0.2 million and $0.5 million for the three months ended June 30, 2015 and 2014, respectively.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was $0.4 million and $1.0 million for the six months ended June 30, 2015 and 2014, respectively. Income tax expense in the three and six month periods of 2015 and 2014 was based on the U.S. statutory rate of 34%, increased by state income taxes.</w:t>
      </w:r>
    </w:p>
    <w:p>
      <w:pPr>
        <w:spacing w:after="0" w:line="167" w:lineRule="exact"/>
        <w:rPr>
          <w:rFonts w:ascii="Arial" w:cs="Arial" w:eastAsia="Arial" w:hAnsi="Arial"/>
          <w:sz w:val="18"/>
          <w:szCs w:val="18"/>
          <w:color w:val="auto"/>
        </w:rPr>
      </w:pPr>
    </w:p>
    <w:p>
      <w:pPr>
        <w:jc w:val="both"/>
        <w:ind w:left="340"/>
        <w:spacing w:after="0" w:line="276" w:lineRule="auto"/>
        <w:rPr>
          <w:rFonts w:ascii="Arial" w:cs="Arial" w:eastAsia="Arial" w:hAnsi="Arial"/>
          <w:sz w:val="18"/>
          <w:szCs w:val="18"/>
          <w:color w:val="auto"/>
        </w:rPr>
      </w:pPr>
      <w:r>
        <w:rPr>
          <w:rFonts w:ascii="Arial" w:cs="Arial" w:eastAsia="Arial" w:hAnsi="Arial"/>
          <w:sz w:val="17"/>
          <w:szCs w:val="17"/>
          <w:color w:val="auto"/>
        </w:rPr>
        <w:t>In the six month periods ended June 30, 2015 and 2014,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The tax benefits from such stock-based awards were $0.6 million and $0.6 million in the six month periods ended June 30, 2015 and 2014, respectively. These tax benefits were recorded as an equity adjustment to additional paid-in capital.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9" w:name="page10"/>
    <w:bookmarkEnd w:id="9"/>
    <w:p>
      <w:pPr>
        <w:jc w:val="both"/>
        <w:ind w:left="340"/>
        <w:spacing w:after="0" w:line="264" w:lineRule="auto"/>
        <w:rPr>
          <w:sz w:val="20"/>
          <w:szCs w:val="20"/>
          <w:color w:val="auto"/>
        </w:rPr>
      </w:pPr>
      <w:r>
        <w:rPr>
          <w:rFonts w:ascii="Arial" w:cs="Arial" w:eastAsia="Arial" w:hAnsi="Arial"/>
          <w:sz w:val="18"/>
          <w:szCs w:val="18"/>
          <w:color w:val="auto"/>
        </w:rPr>
        <w:t>As of June 30, 2015, we had a total of $0.9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18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addition to deferred tax assets carried on our balance sheet, we also had net federal and state research and development credit carryforwards available at December 31, 2014 of $4.0 million and $0.3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$0.6 million and $0.6 million equity adjustment to additional paid-in capital in the six month periods ended June 30, 2015 and 2014 were related to these deferred tax assets.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Internal Revenue Service commenced an examination of our tax return for the year ended December 31, 2012 in September 2014.</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Accumulated Other Comprehensive Loss. </w:t>
      </w:r>
      <w:r>
        <w:rPr>
          <w:rFonts w:ascii="Arial" w:cs="Arial" w:eastAsia="Arial" w:hAnsi="Arial"/>
          <w:sz w:val="16"/>
          <w:szCs w:val="16"/>
          <w:color w:val="auto"/>
        </w:rPr>
        <w:t>The components of accumulated other comprehensive loss and activity were as follows (in thousands):</w:t>
      </w:r>
    </w:p>
    <w:p>
      <w:pPr>
        <w:sectPr>
          <w:pgSz w:w="11900" w:h="16838" w:orient="portrait"/>
          <w:cols w:equalWidth="0" w:num="1">
            <w:col w:w="11420"/>
          </w:cols>
          <w:pgMar w:left="240" w:top="8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960"/>
        <w:spacing w:after="0" w:line="300" w:lineRule="auto"/>
        <w:rPr>
          <w:sz w:val="20"/>
          <w:szCs w:val="20"/>
          <w:color w:val="auto"/>
        </w:rPr>
      </w:pPr>
      <w:r>
        <w:rPr>
          <w:rFonts w:ascii="Arial" w:cs="Arial" w:eastAsia="Arial" w:hAnsi="Arial"/>
          <w:sz w:val="16"/>
          <w:szCs w:val="16"/>
          <w:color w:val="auto"/>
        </w:rPr>
        <w:t>Unrealized losses on available for sale securities Unrealized gains on available for sale securities</w:t>
      </w:r>
    </w:p>
    <w:p>
      <w:pPr>
        <w:ind w:firstLine="156"/>
        <w:spacing w:after="0" w:line="316" w:lineRule="auto"/>
        <w:rPr>
          <w:sz w:val="20"/>
          <w:szCs w:val="20"/>
          <w:color w:val="auto"/>
        </w:rPr>
      </w:pPr>
      <w:r>
        <w:rPr>
          <w:rFonts w:ascii="Arial" w:cs="Arial" w:eastAsia="Arial" w:hAnsi="Arial"/>
          <w:sz w:val="16"/>
          <w:szCs w:val="16"/>
          <w:color w:val="auto"/>
        </w:rPr>
        <w:t>Net unrealized gains (losses) on available for sale securities Income tax benefit (expense) on other comprehensive loss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Total accumulated other comprehensive loss, net of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 – Classified in other income.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2"/>
          </w:tcPr>
          <w:p>
            <w:pPr>
              <w:jc w:val="right"/>
              <w:ind w:right="250"/>
              <w:spacing w:after="0"/>
              <w:rPr>
                <w:sz w:val="20"/>
                <w:szCs w:val="20"/>
                <w:color w:val="auto"/>
              </w:rPr>
            </w:pPr>
            <w:r>
              <w:rPr>
                <w:rFonts w:ascii="Arial" w:cs="Arial" w:eastAsia="Arial" w:hAnsi="Arial"/>
                <w:sz w:val="18"/>
                <w:szCs w:val="18"/>
                <w:color w:val="auto"/>
              </w:rPr>
              <w:t>December 31,</w:t>
            </w:r>
          </w:p>
        </w:tc>
        <w:tc>
          <w:tcPr>
            <w:tcW w:w="360" w:type="dxa"/>
            <w:vAlign w:val="bottom"/>
          </w:tcPr>
          <w:p>
            <w:pPr>
              <w:spacing w:after="0"/>
              <w:rPr>
                <w:sz w:val="18"/>
                <w:szCs w:val="18"/>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w w:val="97"/>
              </w:rPr>
              <w:t>Increase/</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Reclassification</w:t>
            </w:r>
          </w:p>
        </w:tc>
        <w:tc>
          <w:tcPr>
            <w:tcW w:w="6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June 30,</w:t>
            </w: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6"/>
              </w:rPr>
              <w:t>Decrease</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Adjustments</w:t>
            </w: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43</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12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(44)</w:t>
            </w:r>
          </w:p>
        </w:tc>
        <w:tc>
          <w:tcPr>
            <w:tcW w:w="360" w:type="dxa"/>
            <w:vAlign w:val="bottom"/>
          </w:tcPr>
          <w:p>
            <w:pPr>
              <w:spacing w:after="0"/>
              <w:rPr>
                <w:sz w:val="17"/>
                <w:szCs w:val="17"/>
                <w:color w:val="auto"/>
              </w:rPr>
            </w:pPr>
          </w:p>
        </w:tc>
        <w:tc>
          <w:tcPr>
            <w:tcW w:w="1260" w:type="dxa"/>
            <w:vAlign w:val="bottom"/>
          </w:tcPr>
          <w:p>
            <w:pPr>
              <w:jc w:val="right"/>
              <w:ind w:right="50"/>
              <w:spacing w:after="0" w:line="201" w:lineRule="exact"/>
              <w:rPr>
                <w:sz w:val="20"/>
                <w:szCs w:val="20"/>
                <w:color w:val="auto"/>
              </w:rPr>
            </w:pPr>
            <w:r>
              <w:rPr>
                <w:rFonts w:ascii="Arial" w:cs="Arial" w:eastAsia="Arial" w:hAnsi="Arial"/>
                <w:sz w:val="18"/>
                <w:szCs w:val="18"/>
                <w:color w:val="auto"/>
              </w:rPr>
              <w:t>(73)</w:t>
            </w:r>
          </w:p>
        </w:tc>
        <w:tc>
          <w:tcPr>
            <w:tcW w:w="280" w:type="dxa"/>
            <w:vAlign w:val="bottom"/>
          </w:tcPr>
          <w:p>
            <w:pPr>
              <w:spacing w:after="0"/>
              <w:rPr>
                <w:sz w:val="17"/>
                <w:szCs w:val="17"/>
                <w:color w:val="auto"/>
              </w:rPr>
            </w:pPr>
          </w:p>
        </w:tc>
        <w:tc>
          <w:tcPr>
            <w:tcW w:w="12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12</w:t>
            </w:r>
          </w:p>
        </w:tc>
        <w:tc>
          <w:tcPr>
            <w:tcW w:w="600" w:type="dxa"/>
            <w:vAlign w:val="bottom"/>
          </w:tcPr>
          <w:p>
            <w:pPr>
              <w:jc w:val="right"/>
              <w:ind w:right="270"/>
              <w:spacing w:after="0" w:line="201" w:lineRule="exact"/>
              <w:rPr>
                <w:sz w:val="20"/>
                <w:szCs w:val="20"/>
                <w:color w:val="auto"/>
              </w:rPr>
            </w:pPr>
            <w:r>
              <w:rPr>
                <w:rFonts w:ascii="Arial" w:cs="Arial" w:eastAsia="Arial" w:hAnsi="Arial"/>
                <w:sz w:val="18"/>
                <w:szCs w:val="18"/>
                <w:color w:val="auto"/>
                <w:w w:val="99"/>
              </w:rPr>
              <w:t>(a)</w:t>
            </w:r>
          </w:p>
        </w:tc>
        <w:tc>
          <w:tcPr>
            <w:tcW w:w="10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(105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4"/>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8" w:lineRule="exact"/>
        <w:rPr>
          <w:sz w:val="20"/>
          <w:szCs w:val="20"/>
          <w:color w:val="auto"/>
        </w:rPr>
      </w:pPr>
    </w:p>
    <w:p>
      <w:pPr>
        <w:sectPr>
          <w:pgSz w:w="11900" w:h="16838" w:orient="portrait"/>
          <w:cols w:equalWidth="0" w:num="2">
            <w:col w:w="4460" w:space="600"/>
            <w:col w:w="6360"/>
          </w:cols>
          <w:pgMar w:left="240" w:top="868"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2014,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primarily engaged in the development and sale of biometrics products and services. Our software products are used in government and commercial biometrics systems to identify or authenticate people. Principal government applications of biometrics systems include border control, law enforcement, national defense, secure credentialing, access control, and background checks. Principal commercial applications include: i) user authentication for login and access to mobile devices, computers, networks, and software programs; ii) user authentication for financial transactions and purchases (online and in-person);</w:t>
      </w:r>
    </w:p>
    <w:p>
      <w:pPr>
        <w:spacing w:after="0" w:line="2" w:lineRule="exact"/>
        <w:rPr>
          <w:sz w:val="20"/>
          <w:szCs w:val="20"/>
          <w:color w:val="auto"/>
        </w:rPr>
      </w:pPr>
    </w:p>
    <w:p>
      <w:pPr>
        <w:jc w:val="both"/>
        <w:ind w:firstLine="8"/>
        <w:spacing w:after="0" w:line="255"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physical access control to buildings, and iv) screening and background checks of prospective employees and customers. We sell our software and services globally through systems integrators and OEMs, and directly to end user customers. We also derive a minor portion of our revenue from the sale of imaging software to OEMs that incorporate that software into medical imaging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and net income for the three months ended June 30, 2015 were $4.5 million and $0.3 million, respectively. These results compared to revenue of $6.8 million and net income of $0.9 million in the three months ended June 30, 2014. Lower revenue and net income in the current quarter were primarily due to:</w:t>
      </w:r>
    </w:p>
    <w:p>
      <w:pPr>
        <w:spacing w:after="0" w:line="181" w:lineRule="exact"/>
        <w:rPr>
          <w:sz w:val="20"/>
          <w:szCs w:val="20"/>
          <w:color w:val="auto"/>
        </w:rPr>
      </w:pPr>
    </w:p>
    <w:p>
      <w:pPr>
        <w:ind w:left="420" w:hanging="250"/>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hardware sales from $2.0 million in the year ago quarter to zero in the current quarter; and</w:t>
      </w:r>
    </w:p>
    <w:p>
      <w:pPr>
        <w:spacing w:after="0" w:line="23" w:lineRule="exact"/>
        <w:rPr>
          <w:rFonts w:ascii="Arial" w:cs="Arial" w:eastAsia="Arial" w:hAnsi="Arial"/>
          <w:sz w:val="18"/>
          <w:szCs w:val="18"/>
          <w:color w:val="auto"/>
        </w:rPr>
      </w:pPr>
    </w:p>
    <w:p>
      <w:pPr>
        <w:ind w:left="420" w:hanging="250"/>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services revenue from $1.3 million in the year ago quarter to $0.9 million in the current quarter.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and net income for the six months ended June 30, 2015 were $8.6 million and $0.6 million, respectively. These results compared to revenue of $13.4 million and net income of $1.7 million in the six months ended June 30, 2014. Lower revenue and net income in the current six month period were primarily due to:</w:t>
      </w:r>
    </w:p>
    <w:p>
      <w:pPr>
        <w:spacing w:after="0" w:line="181" w:lineRule="exact"/>
        <w:rPr>
          <w:sz w:val="20"/>
          <w:szCs w:val="20"/>
          <w:color w:val="auto"/>
        </w:rPr>
      </w:pPr>
    </w:p>
    <w:p>
      <w:pPr>
        <w:ind w:left="420" w:hanging="250"/>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hardware sales from $4.7 million in the six month period in 2014 to zero in the same six month period in 2015; and</w:t>
      </w:r>
    </w:p>
    <w:p>
      <w:pPr>
        <w:spacing w:after="0" w:line="23" w:lineRule="exact"/>
        <w:rPr>
          <w:rFonts w:ascii="Arial" w:cs="Arial" w:eastAsia="Arial" w:hAnsi="Arial"/>
          <w:sz w:val="18"/>
          <w:szCs w:val="18"/>
          <w:color w:val="auto"/>
        </w:rPr>
      </w:pPr>
    </w:p>
    <w:p>
      <w:pPr>
        <w:ind w:left="420" w:hanging="250"/>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DSL royalties from $0.5 million in the six month period in 2014 to $0.2 million in the same six month period in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These and all other financial results are discussed in more detail in the results of operations section that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Software licenses. </w:t>
      </w:r>
      <w:r>
        <w:rPr>
          <w:rFonts w:ascii="Arial" w:cs="Arial" w:eastAsia="Arial" w:hAnsi="Arial"/>
          <w:sz w:val="16"/>
          <w:szCs w:val="16"/>
          <w:color w:val="auto"/>
        </w:rPr>
        <w:t>Software licenses consist of revenue from the sale of biometrics and imaging software products. Sales of software products depend on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win proposals to supply software for biometrics systems projects either directly to end user customers or indirectly through channel partners.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Software license revenue increased 10% from $2.1 million in the three months ended June 30, 2014 to $2.3 million in the same three month period in 2015.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a percentage of total revenue, software license revenue increased from 31% in the second quarter of 2014 to 50% in the current year quarter.</w:t>
      </w:r>
    </w:p>
    <w:p>
      <w:pPr>
        <w:spacing w:after="0" w:line="2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Software license revenue increased 6% from $3.7 million in the six months ended June 30, 2014 to $3.9 million in the same six month period in 2015. As a percentage of total revenue, software license revenue increased from 28% in the first six months of 2014 to 45% in the corresponding period of 2015.</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six month periods ended June 30, 2015, the dollar increase in software license revenue primarily reflects an increase in software license revenue from two customers that are developing commercial biometric systems. Higher revenue from these commercial customers was partially offset by lower sales of software licenses to channel partners that serve government customers.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described in the strategy section of our Form 10-K for the year ended December 31, 2014, our market strategy is to continue to focus on our legacy government biometrics markets and expand into new commercial biometrics markets. While we derived a meaningful amount of license and services revenue from commercial customers in the first half of 2015, we are unable to predict future revenue from commercial markets as these are emerging markets for us.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Software maintenance</w:t>
      </w:r>
      <w:r>
        <w:rPr>
          <w:rFonts w:ascii="Arial" w:cs="Arial" w:eastAsia="Arial" w:hAnsi="Arial"/>
          <w:sz w:val="17"/>
          <w:szCs w:val="17"/>
          <w:color w:val="auto"/>
        </w:rPr>
        <w:t>. Software maintenance consists of revenue from the sale of software maintenance contracts. Software maintenance contracts entitle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to receive software support and software updates, if and when they become available, during the term of the contract.</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Software maintenance revenue increased 11% from $1.2 million in the three months ended June 30, 2014 to $1.3 million in the same three month period in 2015. As a percentage of total revenue, software maintenance revenue increased from 17% in the second quarter of 2014 to 28% in the current year quarter.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Software maintenance revenue increased 11% from $2.2 million in the six months ended June 30, 2014 to $2.4 million in the same six month period in 2015. As a percentage of total revenue, software maintenance revenue increased from 16% in the first six months of 2014 to 28% in the corresponding period of 2015.</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six month periods ended June 30, 2015, the dollar increase in software maintenance revenue was primarily due to a base of maintenance revenue from contract renewals from prior periods that grows as we sell maintenance contracts with new licenses in current periods.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Services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consist of fees we charge to perform software development, integration, installation, and customization services. Similar to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license revenue, services revenue depends on our ability to win biometrics systems projects either directly with end user customers or in conjunction with channel partners. Services revenue will fluctuate when we commence new projects and/or when we complete projects that were started in previous periods.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decreased 36% from $1.3 million in the three months ended June 30, 2014 to $0.9 million in the same three month period in 2015. As a percentage of total revenue, services decreased from 20% in the second quarter of 2014 to 19% in the current year quarter.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Services decreased 12% from $2.3 million in the six months ended June 30, 2014 to $2.1 million in the same six month period in 2015. As a percentage of total revenue, services increased from 18% in the first six months of 2014 to 24% in the corresponding period of 2015.</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three and six month periods ended June 30, 2015, the dollar decrease in services was primarily due to lower revenue from projects with two direct U.S. government customers. The larger of those projects has contributed significantly to quarterly services revenue since its commencement in 2013. This project began to wind down in the second quarter of 2015 and is expected to be completed in the third quarter of 2015. Lower services revenue from these two government projects was partially offset by higher revenue from two projects with customers that are developing biometrics systems for commercial applications. These commercial projects are the same as those mentioned in the software license section above.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Services revenue in future periods may decline compared to comparable periods in 2014 unless we can replace the loss of revenue from the large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project mentioned in the previous paragraph with services revenue from other government and commercial customers.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Hardware. </w:t>
      </w:r>
      <w:r>
        <w:rPr>
          <w:rFonts w:ascii="Arial" w:cs="Arial" w:eastAsia="Arial" w:hAnsi="Arial"/>
          <w:sz w:val="17"/>
          <w:szCs w:val="17"/>
          <w:color w:val="auto"/>
        </w:rPr>
        <w:t>Hardware revenue consists of sales of biometrics equipment to a single U.S. government customer for whom we developed biometrics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Hardware products sold to this customer integrate hardware purchased from third parties with software from other third parties as well as software from Aware. We evaluated the classification of gross versus net revenue recognition and determined gross recognition was appropriate.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Hardware sales decreased 100% from $2.0 million in the three months ended June 30, 2014 to zero in the same three month period in 2015. As a percentage of total revenue, hardware sales decreased from 30% in the second quarter of 2014 to 0% in the current year quarter.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Hardware sales decreased 100% from $4.7 million in the six months ended June 30, 2014 to zero in the same six month period in 2015. As a percentage of total revenue, hardware sales decreased from 35% in the first six months of 2014 to 0% in the corresponding period of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 periods ended June 30, 2015, the dollar decrease in hardware sales was due to the fact that we delivered no hardware to our government customer through June 30, 2015.</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2015, we received a $1.1 million hardware order that we expect to deliver in the third or fourth quarter of 2015. Notwithstanding this order, future orders from this customer may be minimal as we believe it has completed the bulk of its purchasing. Despite this expectation, we are unable to predict future hardware sales with any degree of certainty because forecasting our customer’s demand is difficult. If we are unable to replace the lost gross profit on hardware revenue with sales of other products and services in future periods, our operating results may be adversely affected. It is worth noting that our strategy does not include maintaining or growing biometrics hardware revenue. We agreed to provide hardware products as an accommodation to an important customer.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Royalties consist primarily of royalty payments we receive under DSL silicon contracts with two customers that incorporate our silicon intellectual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(“IP”) in their DSL chipsets. We sold our DSL IP business in 2009, but we continue to receive royalty payments from these customers. Royalties are reported in continuing operations in accordance with ASC 205-20, Reporting Discontinued Operations, because we have continuing ongoing cash flows from this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decreased 36% from $164,000 in the three months ended June 30, 2014 to $105,000 in the same three month period in 2015. As a percentage of total revenue, royalties were unchanged at 2% in the second quarters of 2014 and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decreased 57% from $478,000 in the six months ended June 30, 2014 to $206,000 in the same six month period in 2015. As a percentage of total revenue, royalties decreased from 4% in the first six months of 2014 to 2% in the corresponding period of 2015.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We do not consider DSL royalties to be a key element of our business and we expect that this revenue will continue to decline in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Cost of hardware. </w:t>
      </w:r>
      <w:r>
        <w:rPr>
          <w:rFonts w:ascii="Arial" w:cs="Arial" w:eastAsia="Arial" w:hAnsi="Arial"/>
          <w:sz w:val="18"/>
          <w:szCs w:val="18"/>
          <w:color w:val="auto"/>
        </w:rPr>
        <w:t>Cost of hardware consists primarily of the cost of third party equipment and software included in hardware shipments.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hardware sales decreased 100% from $1.4 million in the three months ended June 30, 2014 to zero in the same three month period in 2015. Cost of hardware as a percentage of hardware sales was 69% in the prior year quarter, which means that product gross margins were 31% in the second quarter of 2014.</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hardware sales decreased 100% from $3.3 million in the six months ended June 30, 2014 to zero in the same six month period in 2015. Cost of hardware as a percentage of hardware sales was 71% in the first six months of 2014, which means that product gross margins were 29% in that period.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 periods ended June 30, 2015, the dollar decrease in cost of hardware was because we delivered no hardware products in the current year periods.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consists of engineering costs to perform customer services projects. Such costs primarily include: i) engineering salaries,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fringe benefits, and facilities; and ii) engineering consultants and contractors.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services decreased 8% from $618,000 in the three months ended June 30, 2014 to $569,000 in the same three month period in 2015. Cost of services as a percentage of services increased from 46% in the second quarter of 2014 to 67% in the current quarter, which means that gross margins on services decreased from 54% to 33%. The dollar decrease in cost of services was primarily due to lower services revenue. The margin decrease was related to the large project with the U.S. government customer described in services revenue. As the project neared completion, we incurred additional unexpected costs to resolve issues identified during final software testing.</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services increased 3% from slightly less than $1.1 million in the six months ended June 30, 2014 to slightly more than $1.1 million in the same six month period in 2015. Cost of services as a percentage of services increased from 46% in the first six months of 2014 to 54% in the corresponding period in 2015, which means that gross margins on services decreased from 54% to 46%. The dollar increase in cost of services and the margin decline in the six months ended June 30, 2015 were also attributable to the issues we experienced in the second quarter of 2015 with one of our U.S. government customers.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expense consists of costs for: i) engineering personnel, including salaries,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total engineering costs to research and development expense and cost of services was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3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r>
      <w:tr>
        <w:trPr>
          <w:trHeight w:val="241"/>
        </w:trPr>
        <w:tc>
          <w:tcPr>
            <w:tcW w:w="56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1,439</w:t>
            </w:r>
          </w:p>
        </w:tc>
        <w:tc>
          <w:tcPr>
            <w:tcW w:w="120" w:type="dxa"/>
            <w:vAlign w:val="bottom"/>
          </w:tcPr>
          <w:p>
            <w:pPr>
              <w:spacing w:after="0"/>
              <w:rPr>
                <w:sz w:val="24"/>
                <w:szCs w:val="24"/>
                <w:color w:val="auto"/>
              </w:rPr>
            </w:pPr>
          </w:p>
        </w:tc>
        <w:tc>
          <w:tcPr>
            <w:tcW w:w="98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1,400</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2,874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24"/>
                <w:szCs w:val="24"/>
                <w:color w:val="auto"/>
              </w:rPr>
            </w:pPr>
          </w:p>
        </w:tc>
      </w:tr>
      <w:tr>
        <w:trPr>
          <w:trHeight w:val="237"/>
        </w:trPr>
        <w:tc>
          <w:tcPr>
            <w:tcW w:w="5620" w:type="dxa"/>
            <w:vAlign w:val="bottom"/>
          </w:tcPr>
          <w:p>
            <w:pPr>
              <w:spacing w:after="0"/>
              <w:rPr>
                <w:sz w:val="20"/>
                <w:szCs w:val="20"/>
                <w:color w:val="auto"/>
              </w:rPr>
            </w:pPr>
            <w:r>
              <w:rPr>
                <w:rFonts w:ascii="Arial" w:cs="Arial" w:eastAsia="Arial" w:hAnsi="Arial"/>
                <w:sz w:val="18"/>
                <w:szCs w:val="18"/>
                <w:color w:val="auto"/>
              </w:rPr>
              <w:t>Cost of services</w:t>
            </w:r>
          </w:p>
        </w:tc>
        <w:tc>
          <w:tcPr>
            <w:tcW w:w="84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0"/>
                <w:szCs w:val="20"/>
                <w:color w:val="auto"/>
              </w:rPr>
            </w:pPr>
          </w:p>
        </w:tc>
      </w:tr>
      <w:tr>
        <w:trPr>
          <w:trHeight w:val="216"/>
        </w:trPr>
        <w:tc>
          <w:tcPr>
            <w:tcW w:w="5620" w:type="dxa"/>
            <w:vAlign w:val="bottom"/>
          </w:tcPr>
          <w:p>
            <w:pPr>
              <w:ind w:left="200"/>
              <w:spacing w:after="0" w:line="203" w:lineRule="exact"/>
              <w:rPr>
                <w:sz w:val="20"/>
                <w:szCs w:val="20"/>
                <w:color w:val="auto"/>
              </w:rPr>
            </w:pPr>
            <w:r>
              <w:rPr>
                <w:rFonts w:ascii="Arial" w:cs="Arial" w:eastAsia="Arial" w:hAnsi="Arial"/>
                <w:sz w:val="18"/>
                <w:szCs w:val="18"/>
                <w:color w:val="auto"/>
              </w:rPr>
              <w:t>Total engineering costs</w:t>
            </w: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r>
      <w:tr>
        <w:trPr>
          <w:trHeight w:val="21"/>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562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Research and development expense increased 3% from $1.4 million in the three months ended June 30, 2014 to slightly more than $1.4 million in the same three month period in 2015. As a percentage of total revenue, research and development expense increased from 21% in the second quarter of 2014 to 32% in the corresponding period of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increased 7% from $2.7 million in the six months ended June 30, 2014 to $2.9 million in the same six month period in 2015. As a percentage of total revenue, research and development expense increased from 20% in the first six months of 2014 to 33% in the corresponding period of 2015.</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table immediately above indicates, total engineering costs in the three month period ended June 30, 2015 were essentially unchanged from the corresponding period in 2014. Unchanged engineering spending in the current quarter primarily reflects increased spending on engineers due to headcount growth that was fully offset by lower spending on contractors and recruiting fees for new hires.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Total engineering costs in the six month period ended June 30, 2015 were $0.2 million higher than the corresponding period in 2014. The spending increase in the current six month period primarily reflects increased spending on engineers due to headcount growth that was partially offset by lower spending on contractors and recruiting fees for new hires.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headcount growth in our engineering organization was designed to provide the resources we require: i) to pursue new product development initiatives; and ii) to staff customer engineering services projects.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the strategy section of our Form 10-K for the year ended December 31, 2014, we intend to offer more complete biometrics solutions by expanding our product portfolio. We believe this will allow us to sell more software and services into biometrics projects. Our preference is to develop such products internally, however to the extent we are unable to do that, we may purchase or license technologies from third parties. Engineering spending in the first half of 2015 is a reflection of this strategy. We anticipate that we will continue to focus our future research and development activities on enhancing our existing products and developing new products.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expense increased 8% from $1.0 million in the three months ended June 30, 2014 to $1.1 million in the same three month period of 2015.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total revenue, sales and marketing expense increased from 14% in the second quarter of 2014 to 24% in the corresponding period of 2015.</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expense increased 11% from $1.8 million in the six months ended June 30, 2014 to $2.0 million in the same six month period of 2015.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total revenue, sales and marketing expense increased from 14% in the first six months of 2014 to 24% in the corresponding period of 2015.</w:t>
      </w: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and six month periods ended June 30, 2015, the dollar increase in selling and marketing expense was primarily due to the addition of two employees in our sales organization over the past year and higher sales commissions to one of our foreign sales agents.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 personnel,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 was essentially unchanged at $1.0 million in the three months ended June 30, 2015 and 2014. As a percentage of total revenue, general and administrative expense increased from 14% in the second quarter of 2014 to 21% in the current year quarter. Unchanged general and administrative expense in the current quarter was primarily due to lower stock-based compensation that was offset by higher legal fees and IT costs associated with an upgrade of our accounting systems.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General and administrative expense decreased 2% from $1.78 million in the six months ended June 30, 2014 to $1.75 million in the same six month period in 2015. As a percentage of total revenue, general and administrative expense increased from 13% in the first six months of 2014 to 20% in the corresponding period in 2015. The decrease in general and administrative expense in the first six months of 2015 was primarily due to lower stock-based compensation that was offset by higher IT costs associated with an upgrade of our accounting systems.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Other income</w:t>
      </w:r>
      <w:r>
        <w:rPr>
          <w:rFonts w:ascii="Arial" w:cs="Arial" w:eastAsia="Arial" w:hAnsi="Arial"/>
          <w:sz w:val="18"/>
          <w:szCs w:val="18"/>
          <w:color w:val="auto"/>
        </w:rPr>
        <w:t>. We recorded $12,000 of other income in the six months ended June 30, 2015 and $59,000 of other expense in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Other income in 2015 represented a realized gain on the sale of a high yield bond. Other expense in 2014 represented realized losses on the sale of two high yield bonds.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decreased 38% from $52,000 in three months ended June 30, 2014 to $33,000 in the same three month period in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decreased 47% from $139,000 in the six months ended June 30, 2014 to $74,000 in the same six month period in 2015.</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 periods, the dollar decrease in interest income was primarily due to two factors: i) lower levels of high yield bond investments in 2015 as compared to 2014; and ii) lower cash balances as a result of a $39.9 million dividend payment in July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expense was $0.2 million and $0.5 million for the three months ended June 30, 2015 and 2014, respectively. Income tax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$0.4 million and $1.0 million for the six months ended June 30, 2015 and 2014, respectively. Income tax expense in the three and six month periods of 2015 and 2014 was based on the U.S. statutory rate of 34%, increased by state income taxes.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six month periods ended June 30, 2015 and 2014, we utilized deferred tax assets to reduce our tax liability payable to the government. A portion of the deferred tax assets we used comprised cumulative deductions for stock options in excess of book expense. Under income tax accounting rules, that portion of tax benefits attributable to such deductions must be recorded as an adjustment to equity versus a reduction of income tax expense. The tax benefits from such stock-based awards were $0.6 million and $0.6 million in the six month periods ended June 30, 2015 and 2014, respectively. These tax benefits were recorded as an equity adjustment to additional paid-in capital.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2015, we had a total of $0.9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deferred tax assets carried on our balance sheet, we also had net federal and state research and development credit carryforwards available at December 31, 2014 of $4.0 million and $0.3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The aforementioned $0.6 million and $0.6 million equity adjustment to additional paid-in capital in the six month periods ended June 30, 2015 and 2014 were related to these deferred tax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Internal Revenue Service commenced an examination of our tax return for the year ended December 31, 2012 in September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2015, we had cash and cash equivalents of $44.5 million, which represented an increase of $0.5 million from December 31, 2014. The increase in cash and cash equivalents was primarily due to the following factors: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operations was $102,000 in the first six months of 2015. This result included a $554,000 non-cash item for excess tax benefits from stock-based compensation that reduced cash provided by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investing activities of $141,000 consisted of $529,000 from sales of investments less $320,000 used to purchase a technology license and $68,000 of purchases of property and equipment.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financing activities of $489,000 consisted of: i) $554,000 of excess tax benefits from stock-based compensation; and ii) $22,000 of proceeds from our employee stock purchase plan. Cash provided by these two activities was partially offset by $87,000 of cash used to pay income taxes for employees who surrendered shares in connection with stock grants.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G to our Consolidated Financial Statements in Item 1.</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at June 30, 2015 consisted of two elements:</w:t>
      </w:r>
    </w:p>
    <w:p>
      <w:pPr>
        <w:spacing w:after="0" w:line="170" w:lineRule="exact"/>
        <w:rPr>
          <w:sz w:val="20"/>
          <w:szCs w:val="20"/>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June 30, 2015, our cash and cash equivalents of $44.5 million were primarily invested in money market funds. The</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funds were invested in high quality, short term financial instruments. Due to the nature, short duration, and professional management of these funds, we do not expect that a general increase in interest rates would result in any material loss.</w:t>
      </w:r>
    </w:p>
    <w:p>
      <w:pPr>
        <w:spacing w:after="0" w:line="181" w:lineRule="exact"/>
        <w:rPr>
          <w:rFonts w:ascii="Arial" w:cs="Arial" w:eastAsia="Arial" w:hAnsi="Arial"/>
          <w:sz w:val="18"/>
          <w:szCs w:val="18"/>
          <w:i w:val="1"/>
          <w:iCs w:val="1"/>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June 30, 2015, our investments of $0.9 million were invested in high yield bonds with two corporate debt issuers, which mature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and 2018. While we are exposed to default risk, the high current yield of these bonds largely mitigates interest rate risk. Therefore, due to the high current yield and the three to four year life of these instruments, we do not believe that a general increase in interest rates would result in any material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financial instruments for speculative or trading purposes.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co-chief executive officers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described in Item 1A, Risk Factors, in our Annual Report on Form 10-K for the year ended December 31, 2014,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ind w:left="580"/>
        <w:spacing w:after="0"/>
        <w:tabs>
          <w:tab w:leader="none" w:pos="198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co-Chief Executive Officer pursuant to Section 302 of the Sarbanes-Oxley Act of 2002.</w:t>
      </w:r>
    </w:p>
    <w:p>
      <w:pPr>
        <w:spacing w:after="0" w:line="225" w:lineRule="exact"/>
        <w:rPr>
          <w:sz w:val="20"/>
          <w:szCs w:val="20"/>
          <w:color w:val="auto"/>
        </w:rPr>
      </w:pPr>
    </w:p>
    <w:p>
      <w:pPr>
        <w:jc w:val="both"/>
        <w:ind w:left="2000" w:right="20" w:hanging="1417"/>
        <w:spacing w:after="0" w:line="277" w:lineRule="auto"/>
        <w:tabs>
          <w:tab w:leader="none" w:pos="198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8"/>
          <w:szCs w:val="18"/>
          <w:color w:val="auto"/>
        </w:rPr>
        <w:t>Certification of co-Chief Executive Officer and Chief Financial Officer pursuant to Section 302 of the Sarbanes-Oxley Act of 2002.</w:t>
      </w:r>
    </w:p>
    <w:p>
      <w:pPr>
        <w:spacing w:after="0" w:line="170" w:lineRule="exact"/>
        <w:rPr>
          <w:sz w:val="20"/>
          <w:szCs w:val="20"/>
          <w:color w:val="auto"/>
        </w:rPr>
      </w:pPr>
    </w:p>
    <w:p>
      <w:pPr>
        <w:ind w:left="580"/>
        <w:spacing w:after="0"/>
        <w:tabs>
          <w:tab w:leader="none" w:pos="198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25" w:lineRule="exact"/>
        <w:rPr>
          <w:sz w:val="20"/>
          <w:szCs w:val="20"/>
          <w:color w:val="auto"/>
        </w:rPr>
      </w:pPr>
    </w:p>
    <w:p>
      <w:pPr>
        <w:jc w:val="both"/>
        <w:ind w:left="2000" w:hanging="1417"/>
        <w:spacing w:after="0" w:line="257" w:lineRule="auto"/>
        <w:tabs>
          <w:tab w:leader="none" w:pos="198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The following financial statements from Aware, Inc.’s Quarterly Report on Form 10-Q for the quarter ended June 30, 2015, formatted in XBRL (eXtensible Business Reporting Language), as follows: (i) Consolidated Balance Sheets as of June 30, 2015 and December 31, 2014, (ii) Consolidated Statements of Income and Comprehensive Income for the Three and Six Months Ended June 30, 2015 and June 30, 2014, (iii) Consolidated Statements of Cash Flows for the Six Months Ended June 30, 2015 and June 30, 2014, and (iv) Notes to Consolidated Financial Statements.</w:t>
      </w:r>
    </w:p>
    <w:p>
      <w:pPr>
        <w:spacing w:after="0" w:line="188" w:lineRule="exact"/>
        <w:rPr>
          <w:sz w:val="20"/>
          <w:szCs w:val="20"/>
          <w:color w:val="auto"/>
        </w:rPr>
      </w:pPr>
    </w:p>
    <w:p>
      <w:pPr>
        <w:ind w:firstLine="8"/>
        <w:spacing w:after="0" w:line="342" w:lineRule="auto"/>
        <w:tabs>
          <w:tab w:leader="none" w:pos="138"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Pursuant to Rule 406T of Regulation S-T, the Interactive Data Files in Exhibit 101 hereto shall not be deemed filed for purposes of Sections 11 or 12 of the Securities Act of 1933, as amended, or Section 18 of the Securities Exchange Act of 1934, as amended, or otherwise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49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b w:val="1"/>
                <w:bCs w:val="1"/>
                <w:color w:val="auto"/>
              </w:rPr>
              <w:t>AWARE, INC.</w:t>
            </w:r>
          </w:p>
        </w:tc>
      </w:tr>
      <w:tr>
        <w:trPr>
          <w:trHeight w:val="432"/>
        </w:trPr>
        <w:tc>
          <w:tcPr>
            <w:tcW w:w="3840" w:type="dxa"/>
            <w:vAlign w:val="bottom"/>
          </w:tcPr>
          <w:p>
            <w:pPr>
              <w:ind w:left="660"/>
              <w:spacing w:after="0"/>
              <w:rPr>
                <w:sz w:val="20"/>
                <w:szCs w:val="20"/>
                <w:color w:val="auto"/>
              </w:rPr>
            </w:pPr>
            <w:r>
              <w:rPr>
                <w:rFonts w:ascii="Arial" w:cs="Arial" w:eastAsia="Arial" w:hAnsi="Arial"/>
                <w:sz w:val="18"/>
                <w:szCs w:val="18"/>
                <w:color w:val="auto"/>
              </w:rPr>
              <w:t>Date: July 28, 2015</w:t>
            </w: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By: /s/ Kevin T. Russell</w:t>
            </w:r>
          </w:p>
        </w:tc>
      </w:tr>
      <w:tr>
        <w:trPr>
          <w:trHeight w:val="195"/>
        </w:trPr>
        <w:tc>
          <w:tcPr>
            <w:tcW w:w="3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T. Russell</w:t>
            </w:r>
          </w:p>
        </w:tc>
      </w:tr>
      <w:tr>
        <w:trPr>
          <w:trHeight w:val="216"/>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co-Chief Executive Officer &amp; co-President</w:t>
            </w:r>
          </w:p>
        </w:tc>
      </w:tr>
      <w:tr>
        <w:trPr>
          <w:trHeight w:val="230"/>
        </w:trPr>
        <w:tc>
          <w:tcPr>
            <w:tcW w:w="3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432"/>
        </w:trPr>
        <w:tc>
          <w:tcPr>
            <w:tcW w:w="3840" w:type="dxa"/>
            <w:vAlign w:val="bottom"/>
          </w:tcPr>
          <w:p>
            <w:pPr>
              <w:ind w:left="660"/>
              <w:spacing w:after="0"/>
              <w:rPr>
                <w:sz w:val="20"/>
                <w:szCs w:val="20"/>
                <w:color w:val="auto"/>
              </w:rPr>
            </w:pPr>
            <w:r>
              <w:rPr>
                <w:rFonts w:ascii="Arial" w:cs="Arial" w:eastAsia="Arial" w:hAnsi="Arial"/>
                <w:sz w:val="18"/>
                <w:szCs w:val="18"/>
                <w:color w:val="auto"/>
              </w:rPr>
              <w:t>Date: July 28, 2015</w:t>
            </w: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By: /s/ Richard P. Moberg</w:t>
            </w:r>
          </w:p>
        </w:tc>
      </w:tr>
      <w:tr>
        <w:trPr>
          <w:trHeight w:val="195"/>
        </w:trPr>
        <w:tc>
          <w:tcPr>
            <w:tcW w:w="3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P. Moberg</w:t>
            </w:r>
          </w:p>
        </w:tc>
      </w:tr>
      <w:tr>
        <w:trPr>
          <w:trHeight w:val="216"/>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co-Chief Executive Officer &amp; co-President</w:t>
            </w:r>
          </w:p>
        </w:tc>
      </w:tr>
      <w:tr>
        <w:trPr>
          <w:trHeight w:val="216"/>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r>
      <w:tr>
        <w:trPr>
          <w:trHeight w:val="230"/>
        </w:trPr>
        <w:tc>
          <w:tcPr>
            <w:tcW w:w="3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432"/>
        </w:trPr>
        <w:tc>
          <w:tcPr>
            <w:tcW w:w="3840" w:type="dxa"/>
            <w:vAlign w:val="bottom"/>
            <w:tcBorders>
              <w:bottom w:val="single" w:sz="8" w:color="DCDCDC"/>
            </w:tcBorders>
          </w:tcPr>
          <w:p>
            <w:pPr>
              <w:spacing w:after="0"/>
              <w:rPr>
                <w:sz w:val="24"/>
                <w:szCs w:val="24"/>
                <w:color w:val="auto"/>
              </w:rPr>
            </w:pPr>
          </w:p>
        </w:tc>
        <w:tc>
          <w:tcPr>
            <w:tcW w:w="2240" w:type="dxa"/>
            <w:vAlign w:val="bottom"/>
            <w:tcBorders>
              <w:bottom w:val="single" w:sz="8" w:color="DCDCDC"/>
            </w:tcBorders>
          </w:tcPr>
          <w:p>
            <w:pPr>
              <w:jc w:val="right"/>
              <w:ind w:right="190"/>
              <w:spacing w:after="0"/>
              <w:rPr>
                <w:sz w:val="20"/>
                <w:szCs w:val="20"/>
                <w:color w:val="auto"/>
              </w:rPr>
            </w:pPr>
            <w:r>
              <w:rPr>
                <w:rFonts w:ascii="Arial" w:cs="Arial" w:eastAsia="Arial" w:hAnsi="Arial"/>
                <w:sz w:val="18"/>
                <w:szCs w:val="18"/>
                <w:color w:val="auto"/>
              </w:rPr>
              <w:t>20</w:t>
            </w:r>
          </w:p>
        </w:tc>
        <w:tc>
          <w:tcPr>
            <w:tcW w:w="53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25"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25"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ind w:left="1700" w:right="120" w:hanging="395"/>
        <w:spacing w:after="0" w:line="286" w:lineRule="auto"/>
        <w:tabs>
          <w:tab w:leader="none" w:pos="17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1700" w:right="220" w:hanging="395"/>
        <w:spacing w:after="0" w:line="264" w:lineRule="auto"/>
        <w:tabs>
          <w:tab w:leader="none" w:pos="17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00" w:right="60" w:hanging="395"/>
        <w:spacing w:after="0" w:line="264" w:lineRule="auto"/>
        <w:tabs>
          <w:tab w:leader="none" w:pos="17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1700" w:right="80" w:hanging="395"/>
        <w:spacing w:after="0" w:line="286" w:lineRule="auto"/>
        <w:tabs>
          <w:tab w:leader="none" w:pos="17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1" w:lineRule="exact"/>
        <w:rPr>
          <w:rFonts w:ascii="Arial" w:cs="Arial" w:eastAsia="Arial" w:hAnsi="Arial"/>
          <w:sz w:val="18"/>
          <w:szCs w:val="18"/>
          <w:color w:val="auto"/>
        </w:rPr>
      </w:pPr>
    </w:p>
    <w:p>
      <w:pPr>
        <w:ind w:left="1700" w:right="280" w:hanging="395"/>
        <w:spacing w:after="0" w:line="342" w:lineRule="auto"/>
        <w:tabs>
          <w:tab w:leader="none" w:pos="17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00" w:right="560" w:hanging="395"/>
        <w:spacing w:after="0" w:line="277" w:lineRule="auto"/>
        <w:tabs>
          <w:tab w:leader="none" w:pos="17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Date: July 28, 2015</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 Russell</w:t>
            </w:r>
          </w:p>
        </w:tc>
        <w:tc>
          <w:tcPr>
            <w:tcW w:w="1480" w:type="dxa"/>
            <w:vAlign w:val="bottom"/>
          </w:tcPr>
          <w:p>
            <w:pPr>
              <w:spacing w:after="0"/>
              <w:rPr>
                <w:sz w:val="20"/>
                <w:szCs w:val="20"/>
                <w:color w:val="auto"/>
              </w:rPr>
            </w:pPr>
          </w:p>
        </w:tc>
      </w:tr>
      <w:tr>
        <w:trPr>
          <w:trHeight w:val="195"/>
        </w:trPr>
        <w:tc>
          <w:tcPr>
            <w:tcW w:w="574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Kevin T. Russell</w:t>
            </w:r>
          </w:p>
        </w:tc>
        <w:tc>
          <w:tcPr>
            <w:tcW w:w="1480" w:type="dxa"/>
            <w:vAlign w:val="bottom"/>
          </w:tcPr>
          <w:p>
            <w:pPr>
              <w:spacing w:after="0"/>
              <w:rPr>
                <w:sz w:val="16"/>
                <w:szCs w:val="16"/>
                <w:color w:val="auto"/>
              </w:rPr>
            </w:pPr>
          </w:p>
        </w:tc>
      </w:tr>
      <w:tr>
        <w:trPr>
          <w:trHeight w:val="230"/>
        </w:trPr>
        <w:tc>
          <w:tcPr>
            <w:tcW w:w="57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co-Chief Executive Officer &amp; co-President</w:t>
            </w:r>
          </w:p>
        </w:tc>
        <w:tc>
          <w:tcPr>
            <w:tcW w:w="1480" w:type="dxa"/>
            <w:vAlign w:val="bottom"/>
          </w:tcPr>
          <w:p>
            <w:pPr>
              <w:spacing w:after="0"/>
              <w:rPr>
                <w:sz w:val="20"/>
                <w:szCs w:val="20"/>
                <w:color w:val="auto"/>
              </w:rPr>
            </w:pPr>
          </w:p>
        </w:tc>
      </w:tr>
      <w:tr>
        <w:trPr>
          <w:trHeight w:val="432"/>
        </w:trPr>
        <w:tc>
          <w:tcPr>
            <w:tcW w:w="5740" w:type="dxa"/>
            <w:vAlign w:val="bottom"/>
            <w:tcBorders>
              <w:bottom w:val="single" w:sz="8" w:color="DCDCDC"/>
            </w:tcBorders>
          </w:tcPr>
          <w:p>
            <w:pPr>
              <w:spacing w:after="0"/>
              <w:rPr>
                <w:sz w:val="24"/>
                <w:szCs w:val="24"/>
                <w:color w:val="auto"/>
              </w:rPr>
            </w:pPr>
          </w:p>
        </w:tc>
        <w:tc>
          <w:tcPr>
            <w:tcW w:w="4200" w:type="dxa"/>
            <w:vAlign w:val="bottom"/>
            <w:tcBorders>
              <w:bottom w:val="single" w:sz="8" w:color="DCDCDC"/>
            </w:tcBorders>
          </w:tcPr>
          <w:p>
            <w:pPr>
              <w:spacing w:after="0"/>
              <w:rPr>
                <w:sz w:val="24"/>
                <w:szCs w:val="24"/>
                <w:color w:val="auto"/>
              </w:rPr>
            </w:pPr>
          </w:p>
        </w:tc>
        <w:tc>
          <w:tcPr>
            <w:tcW w:w="14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2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25"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1"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ind w:left="1700" w:right="120" w:hanging="395"/>
        <w:spacing w:after="0" w:line="286" w:lineRule="auto"/>
        <w:tabs>
          <w:tab w:leader="none" w:pos="17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5" w:lineRule="exact"/>
        <w:rPr>
          <w:rFonts w:ascii="Arial" w:cs="Arial" w:eastAsia="Arial" w:hAnsi="Arial"/>
          <w:sz w:val="17"/>
          <w:szCs w:val="17"/>
          <w:color w:val="auto"/>
        </w:rPr>
      </w:pPr>
    </w:p>
    <w:p>
      <w:pPr>
        <w:ind w:left="1700" w:right="220" w:hanging="395"/>
        <w:spacing w:after="0" w:line="264" w:lineRule="auto"/>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00" w:right="60" w:hanging="395"/>
        <w:spacing w:after="0" w:line="264" w:lineRule="auto"/>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1700" w:right="80" w:hanging="395"/>
        <w:spacing w:after="0" w:line="286" w:lineRule="auto"/>
        <w:tabs>
          <w:tab w:leader="none" w:pos="17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1" w:lineRule="exact"/>
        <w:rPr>
          <w:rFonts w:ascii="Arial" w:cs="Arial" w:eastAsia="Arial" w:hAnsi="Arial"/>
          <w:sz w:val="18"/>
          <w:szCs w:val="18"/>
          <w:color w:val="auto"/>
        </w:rPr>
      </w:pPr>
    </w:p>
    <w:p>
      <w:pPr>
        <w:ind w:left="1700" w:right="280" w:hanging="395"/>
        <w:spacing w:after="0" w:line="342" w:lineRule="auto"/>
        <w:tabs>
          <w:tab w:leader="none" w:pos="17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00" w:right="560" w:hanging="395"/>
        <w:spacing w:after="0" w:line="277" w:lineRule="auto"/>
        <w:tabs>
          <w:tab w:leader="none" w:pos="1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Date: July 28, 2015</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Moberg</w:t>
            </w:r>
          </w:p>
        </w:tc>
        <w:tc>
          <w:tcPr>
            <w:tcW w:w="1480" w:type="dxa"/>
            <w:vAlign w:val="bottom"/>
          </w:tcPr>
          <w:p>
            <w:pPr>
              <w:spacing w:after="0"/>
              <w:rPr>
                <w:sz w:val="20"/>
                <w:szCs w:val="20"/>
                <w:color w:val="auto"/>
              </w:rPr>
            </w:pPr>
          </w:p>
        </w:tc>
      </w:tr>
      <w:tr>
        <w:trPr>
          <w:trHeight w:val="195"/>
        </w:trPr>
        <w:tc>
          <w:tcPr>
            <w:tcW w:w="5740" w:type="dxa"/>
            <w:vAlign w:val="bottom"/>
          </w:tcPr>
          <w:p>
            <w:pPr>
              <w:spacing w:after="0"/>
              <w:rPr>
                <w:sz w:val="16"/>
                <w:szCs w:val="16"/>
                <w:color w:val="auto"/>
              </w:rPr>
            </w:pP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Richard P. Moberg</w:t>
            </w:r>
          </w:p>
        </w:tc>
        <w:tc>
          <w:tcPr>
            <w:tcW w:w="1480" w:type="dxa"/>
            <w:vAlign w:val="bottom"/>
          </w:tcPr>
          <w:p>
            <w:pPr>
              <w:spacing w:after="0"/>
              <w:rPr>
                <w:sz w:val="16"/>
                <w:szCs w:val="16"/>
                <w:color w:val="auto"/>
              </w:rPr>
            </w:pPr>
          </w:p>
        </w:tc>
      </w:tr>
      <w:tr>
        <w:trPr>
          <w:trHeight w:val="216"/>
        </w:trPr>
        <w:tc>
          <w:tcPr>
            <w:tcW w:w="574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co-Chief Executive Officer &amp; co-President</w:t>
            </w:r>
          </w:p>
        </w:tc>
        <w:tc>
          <w:tcPr>
            <w:tcW w:w="14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480" w:type="dxa"/>
            <w:vAlign w:val="bottom"/>
          </w:tcPr>
          <w:p>
            <w:pPr>
              <w:spacing w:after="0"/>
              <w:rPr>
                <w:sz w:val="20"/>
                <w:szCs w:val="20"/>
                <w:color w:val="auto"/>
              </w:rPr>
            </w:pPr>
          </w:p>
        </w:tc>
      </w:tr>
      <w:tr>
        <w:trPr>
          <w:trHeight w:val="432"/>
        </w:trPr>
        <w:tc>
          <w:tcPr>
            <w:tcW w:w="5740" w:type="dxa"/>
            <w:vAlign w:val="bottom"/>
            <w:tcBorders>
              <w:bottom w:val="single" w:sz="8" w:color="DCDCDC"/>
            </w:tcBorders>
          </w:tcPr>
          <w:p>
            <w:pPr>
              <w:spacing w:after="0"/>
              <w:rPr>
                <w:sz w:val="24"/>
                <w:szCs w:val="24"/>
                <w:color w:val="auto"/>
              </w:rPr>
            </w:pPr>
          </w:p>
        </w:tc>
        <w:tc>
          <w:tcPr>
            <w:tcW w:w="4200" w:type="dxa"/>
            <w:vAlign w:val="bottom"/>
            <w:tcBorders>
              <w:bottom w:val="single" w:sz="8" w:color="DCDCDC"/>
            </w:tcBorders>
          </w:tcPr>
          <w:p>
            <w:pPr>
              <w:spacing w:after="0"/>
              <w:rPr>
                <w:sz w:val="24"/>
                <w:szCs w:val="24"/>
                <w:color w:val="auto"/>
              </w:rPr>
            </w:pPr>
          </w:p>
        </w:tc>
        <w:tc>
          <w:tcPr>
            <w:tcW w:w="14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June 30, 2015,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187" w:lineRule="exact"/>
        <w:rPr>
          <w:sz w:val="20"/>
          <w:szCs w:val="20"/>
          <w:color w:val="auto"/>
        </w:rPr>
      </w:pPr>
    </w:p>
    <w:p>
      <w:pPr>
        <w:ind w:left="1000" w:hanging="344"/>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740" w:hanging="344"/>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/s/ Kevin T. Russell</w:t>
            </w:r>
          </w:p>
        </w:tc>
        <w:tc>
          <w:tcPr>
            <w:tcW w:w="4220" w:type="dxa"/>
            <w:vAlign w:val="bottom"/>
          </w:tcPr>
          <w:p>
            <w:pPr>
              <w:spacing w:after="0"/>
              <w:rPr>
                <w:sz w:val="20"/>
                <w:szCs w:val="20"/>
                <w:color w:val="auto"/>
              </w:rPr>
            </w:pPr>
            <w:r>
              <w:rPr>
                <w:rFonts w:ascii="Arial" w:cs="Arial" w:eastAsia="Arial" w:hAnsi="Arial"/>
                <w:sz w:val="18"/>
                <w:szCs w:val="18"/>
                <w:color w:val="auto"/>
              </w:rPr>
              <w:t>/s/ Richard P. Moberg</w:t>
            </w:r>
          </w:p>
        </w:tc>
      </w:tr>
      <w:tr>
        <w:trPr>
          <w:trHeight w:val="195"/>
        </w:trPr>
        <w:tc>
          <w:tcPr>
            <w:tcW w:w="2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co-Chief Executive Officer &amp; co-President</w:t>
            </w:r>
          </w:p>
        </w:tc>
        <w:tc>
          <w:tcPr>
            <w:tcW w:w="14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co-Chief Executive Officer &amp; co-President</w:t>
            </w: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color w:val="auto"/>
              </w:rPr>
              <w:t>Date: July 28, 2015</w:t>
            </w:r>
          </w:p>
        </w:tc>
        <w:tc>
          <w:tcPr>
            <w:tcW w:w="4220" w:type="dxa"/>
            <w:vAlign w:val="bottom"/>
          </w:tcPr>
          <w:p>
            <w:pPr>
              <w:spacing w:after="0"/>
              <w:rPr>
                <w:sz w:val="20"/>
                <w:szCs w:val="20"/>
                <w:color w:val="auto"/>
              </w:rPr>
            </w:pPr>
            <w:r>
              <w:rPr>
                <w:rFonts w:ascii="Arial" w:cs="Arial" w:eastAsia="Arial" w:hAnsi="Arial"/>
                <w:sz w:val="18"/>
                <w:szCs w:val="18"/>
                <w:color w:val="auto"/>
              </w:rPr>
              <w:t>Date: July 28, 2015</w:t>
            </w: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68"/>
    </w:lvl>
  </w:abstractNum>
  <w:abstractNum w:abstractNumId="1">
    <w:nsid w:val="5BD062C2"/>
    <w:multiLevelType w:val="hybridMultilevel"/>
    <w:lvl w:ilvl="0">
      <w:lvlJc w:val="left"/>
      <w:lvlText w:val="%1"/>
      <w:numFmt w:val="decimal"/>
      <w:start w:val="554"/>
    </w:lvl>
  </w:abstractNum>
  <w:abstractNum w:abstractNumId="2">
    <w:nsid w:val="12200854"/>
    <w:multiLevelType w:val="hybridMultilevel"/>
    <w:lvl w:ilvl="0">
      <w:lvlJc w:val="left"/>
      <w:lvlText w:val="%1"/>
      <w:numFmt w:val="decimal"/>
      <w:start w:val="489"/>
    </w:lvl>
  </w:abstractNum>
  <w:abstractNum w:abstractNumId="3">
    <w:nsid w:val="4DB127F8"/>
    <w:multiLevelType w:val="hybridMultilevel"/>
    <w:lvl w:ilvl="0">
      <w:lvlJc w:val="left"/>
      <w:lvlText w:val="%1)"/>
      <w:numFmt w:val="upperLetter"/>
      <w:start w:val="1"/>
    </w:lvl>
  </w:abstractNum>
  <w:abstractNum w:abstractNumId="4">
    <w:nsid w:val="216231B"/>
    <w:multiLevelType w:val="hybridMultilevel"/>
    <w:lvl w:ilvl="0">
      <w:lvlJc w:val="left"/>
      <w:lvlText w:val="%1)"/>
      <w:numFmt w:val="upperLetter"/>
      <w:start w:val="3"/>
    </w:lvl>
  </w:abstractNum>
  <w:abstractNum w:abstractNumId="5">
    <w:nsid w:val="1F16E9E8"/>
    <w:multiLevelType w:val="hybridMultilevel"/>
    <w:lvl w:ilvl="0">
      <w:lvlJc w:val="left"/>
      <w:lvlText w:val="%1)"/>
      <w:numFmt w:val="upperLetter"/>
      <w:start w:val="5"/>
    </w:lvl>
  </w:abstractNum>
  <w:abstractNum w:abstractNumId="6">
    <w:nsid w:val="1190CDE7"/>
    <w:multiLevelType w:val="hybridMultilevel"/>
    <w:lvl w:ilvl="0">
      <w:lvlJc w:val="left"/>
      <w:lvlText w:val="%1)"/>
      <w:numFmt w:val="upperLetter"/>
      <w:start w:val="7"/>
    </w:lvl>
  </w:abstractNum>
  <w:abstractNum w:abstractNumId="7">
    <w:nsid w:val="66EF438D"/>
    <w:multiLevelType w:val="hybridMultilevel"/>
    <w:lvl w:ilvl="0">
      <w:lvlJc w:val="left"/>
      <w:lvlText w:val="%1)"/>
      <w:numFmt w:val="upperLetter"/>
      <w:start w:val="9"/>
    </w:lvl>
  </w:abstractNum>
  <w:abstractNum w:abstractNumId="8">
    <w:nsid w:val="140E0F76"/>
    <w:multiLevelType w:val="hybridMultilevel"/>
    <w:lvl w:ilvl="0">
      <w:lvlJc w:val="left"/>
      <w:lvlText w:val="%1)"/>
      <w:numFmt w:val="lowerRoman"/>
      <w:start w:val="3"/>
    </w:lvl>
  </w:abstractNum>
  <w:abstractNum w:abstractNumId="9">
    <w:nsid w:val="3352255A"/>
    <w:multiLevelType w:val="hybridMultilevel"/>
    <w:lvl w:ilvl="0">
      <w:lvlJc w:val="left"/>
      <w:lvlText w:val="%1)"/>
      <w:numFmt w:val="lowerRoman"/>
      <w:start w:val="1"/>
    </w:lvl>
  </w:abstractNum>
  <w:abstractNum w:abstractNumId="10">
    <w:nsid w:val="109CF92E"/>
    <w:multiLevelType w:val="hybridMultilevel"/>
    <w:lvl w:ilvl="0">
      <w:lvlJc w:val="left"/>
      <w:lvlText w:val="%1)"/>
      <w:numFmt w:val="lowerRoman"/>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2019-12-06T18:00:49Z</dcterms:created>
  <dcterms:modified xsi:type="dcterms:W3CDTF">2019-12-06T18:00:49Z</dcterms:modified>
</cp:coreProperties>
</file>