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52" w:lineRule="exact"/>
        <w:rPr>
          <w:sz w:val="24"/>
          <w:szCs w:val="24"/>
          <w:color w:val="auto"/>
        </w:rPr>
      </w:pPr>
    </w:p>
    <w:tbl>
      <w:tblPr>
        <w:tblLayout w:type="fixed"/>
        <w:tblInd w:w="18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AWARE, INC.</w:t>
            </w:r>
          </w:p>
        </w:tc>
        <w:tc>
          <w:tcPr>
            <w:tcW w:w="3860" w:type="dxa"/>
            <w:vAlign w:val="bottom"/>
            <w:gridSpan w:val="3"/>
          </w:tcPr>
          <w:p>
            <w:pPr>
              <w:spacing w:after="0"/>
              <w:rPr>
                <w:sz w:val="20"/>
                <w:szCs w:val="20"/>
                <w:color w:val="auto"/>
              </w:rPr>
            </w:pPr>
          </w:p>
        </w:tc>
      </w:tr>
      <w:tr>
        <w:trPr>
          <w:trHeight w:val="230"/>
        </w:trPr>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ind w:left="260"/>
              <w:spacing w:after="0"/>
              <w:rPr>
                <w:sz w:val="20"/>
                <w:szCs w:val="20"/>
                <w:color w:val="auto"/>
              </w:rPr>
            </w:pPr>
            <w:r>
              <w:rPr>
                <w:rFonts w:ascii="Arial" w:cs="Arial" w:eastAsia="Arial" w:hAnsi="Arial"/>
                <w:sz w:val="18"/>
                <w:szCs w:val="18"/>
                <w:color w:val="auto"/>
                <w:w w:val="98"/>
              </w:rPr>
              <w:t>(Exact Name of</w:t>
            </w:r>
          </w:p>
        </w:tc>
        <w:tc>
          <w:tcPr>
            <w:tcW w:w="5000" w:type="dxa"/>
            <w:vAlign w:val="bottom"/>
            <w:gridSpan w:val="4"/>
          </w:tcPr>
          <w:p>
            <w:pPr>
              <w:spacing w:after="0"/>
              <w:rPr>
                <w:sz w:val="20"/>
                <w:szCs w:val="20"/>
                <w:color w:val="auto"/>
              </w:rPr>
            </w:pPr>
            <w:r>
              <w:rPr>
                <w:rFonts w:ascii="Arial" w:cs="Arial" w:eastAsia="Arial" w:hAnsi="Arial"/>
                <w:sz w:val="18"/>
                <w:szCs w:val="18"/>
                <w:color w:val="auto"/>
              </w:rPr>
              <w:t>Registrant as Specified in Its Charter)</w:t>
            </w:r>
          </w:p>
        </w:tc>
      </w:tr>
      <w:tr>
        <w:trPr>
          <w:trHeight w:val="452"/>
        </w:trPr>
        <w:tc>
          <w:tcPr>
            <w:tcW w:w="56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Massachusetts</w:t>
            </w:r>
          </w:p>
        </w:tc>
        <w:tc>
          <w:tcPr>
            <w:tcW w:w="1500" w:type="dxa"/>
            <w:vAlign w:val="bottom"/>
          </w:tcPr>
          <w:p>
            <w:pPr>
              <w:spacing w:after="0"/>
              <w:rPr>
                <w:sz w:val="24"/>
                <w:szCs w:val="24"/>
                <w:color w:val="auto"/>
              </w:rPr>
            </w:pPr>
          </w:p>
        </w:tc>
        <w:tc>
          <w:tcPr>
            <w:tcW w:w="3160" w:type="dxa"/>
            <w:vAlign w:val="bottom"/>
            <w:gridSpan w:val="2"/>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04-2911026</w:t>
            </w:r>
          </w:p>
        </w:tc>
        <w:tc>
          <w:tcPr>
            <w:tcW w:w="780" w:type="dxa"/>
            <w:vAlign w:val="bottom"/>
          </w:tcPr>
          <w:p>
            <w:pPr>
              <w:spacing w:after="0"/>
              <w:rPr>
                <w:sz w:val="24"/>
                <w:szCs w:val="24"/>
                <w:color w:val="auto"/>
              </w:rPr>
            </w:pPr>
          </w:p>
        </w:tc>
      </w:tr>
      <w:tr>
        <w:trPr>
          <w:trHeight w:val="202"/>
        </w:trPr>
        <w:tc>
          <w:tcPr>
            <w:tcW w:w="560" w:type="dxa"/>
            <w:vAlign w:val="bottom"/>
          </w:tcPr>
          <w:p>
            <w:pPr>
              <w:ind w:left="60"/>
              <w:spacing w:after="0" w:line="201" w:lineRule="exact"/>
              <w:rPr>
                <w:sz w:val="20"/>
                <w:szCs w:val="20"/>
                <w:color w:val="auto"/>
              </w:rPr>
            </w:pPr>
            <w:r>
              <w:rPr>
                <w:rFonts w:ascii="Arial" w:cs="Arial" w:eastAsia="Arial" w:hAnsi="Arial"/>
                <w:sz w:val="18"/>
                <w:szCs w:val="18"/>
                <w:color w:val="auto"/>
                <w:w w:val="99"/>
              </w:rPr>
              <w:t>(State</w:t>
            </w: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or Other Jurisdiction of</w:t>
            </w:r>
          </w:p>
        </w:tc>
        <w:tc>
          <w:tcPr>
            <w:tcW w:w="1140" w:type="dxa"/>
            <w:vAlign w:val="bottom"/>
          </w:tcPr>
          <w:p>
            <w:pPr>
              <w:spacing w:after="0"/>
              <w:rPr>
                <w:sz w:val="17"/>
                <w:szCs w:val="17"/>
                <w:color w:val="auto"/>
              </w:rPr>
            </w:pPr>
          </w:p>
        </w:tc>
        <w:tc>
          <w:tcPr>
            <w:tcW w:w="3860" w:type="dxa"/>
            <w:vAlign w:val="bottom"/>
            <w:gridSpan w:val="3"/>
          </w:tcPr>
          <w:p>
            <w:pPr>
              <w:jc w:val="center"/>
              <w:ind w:left="115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Incorporation or Organization)</w:t>
            </w:r>
          </w:p>
        </w:tc>
        <w:tc>
          <w:tcPr>
            <w:tcW w:w="1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198"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October 20, 2014:</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b w:val="1"/>
                <w:bCs w:val="1"/>
                <w:color w:val="auto"/>
              </w:rPr>
              <w:t>Class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 Outstanding</w:t>
            </w:r>
          </w:p>
        </w:tc>
        <w:tc>
          <w:tcPr>
            <w:tcW w:w="2280" w:type="dxa"/>
            <w:vAlign w:val="bottom"/>
          </w:tcPr>
          <w:p>
            <w:pPr>
              <w:spacing w:after="0"/>
              <w:rPr>
                <w:sz w:val="20"/>
                <w:szCs w:val="20"/>
                <w:color w:val="auto"/>
              </w:rPr>
            </w:pPr>
          </w:p>
        </w:tc>
      </w:tr>
      <w:tr>
        <w:trPr>
          <w:trHeight w:val="230"/>
        </w:trPr>
        <w:tc>
          <w:tcPr>
            <w:tcW w:w="640" w:type="dxa"/>
            <w:vAlign w:val="bottom"/>
          </w:tcPr>
          <w:p>
            <w:pPr>
              <w:ind w:left="60"/>
              <w:spacing w:after="0"/>
              <w:rPr>
                <w:sz w:val="20"/>
                <w:szCs w:val="20"/>
                <w:color w:val="auto"/>
              </w:rPr>
            </w:pPr>
            <w:r>
              <w:rPr>
                <w:rFonts w:ascii="Arial" w:cs="Arial" w:eastAsia="Arial" w:hAnsi="Arial"/>
                <w:sz w:val="18"/>
                <w:szCs w:val="18"/>
                <w:color w:val="auto"/>
                <w:w w:val="76"/>
              </w:rPr>
              <w:t>Common</w:t>
            </w:r>
          </w:p>
        </w:tc>
        <w:tc>
          <w:tcPr>
            <w:tcW w:w="6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Stock,</w:t>
            </w:r>
          </w:p>
        </w:tc>
        <w:tc>
          <w:tcPr>
            <w:tcW w:w="5440" w:type="dxa"/>
            <w:vAlign w:val="bottom"/>
          </w:tcPr>
          <w:p>
            <w:pPr>
              <w:spacing w:after="0"/>
              <w:rPr>
                <w:sz w:val="20"/>
                <w:szCs w:val="20"/>
                <w:color w:val="auto"/>
              </w:rPr>
            </w:pPr>
            <w:r>
              <w:rPr>
                <w:rFonts w:ascii="Arial" w:cs="Arial" w:eastAsia="Arial" w:hAnsi="Arial"/>
                <w:sz w:val="18"/>
                <w:szCs w:val="18"/>
                <w:color w:val="auto"/>
              </w:rPr>
              <w:t>par value $0.01 per share</w:t>
            </w: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22,804,720 shares</w:t>
            </w:r>
          </w:p>
        </w:tc>
        <w:tc>
          <w:tcPr>
            <w:tcW w:w="2280" w:type="dxa"/>
            <w:vAlign w:val="bottom"/>
          </w:tcPr>
          <w:p>
            <w:pPr>
              <w:spacing w:after="0"/>
              <w:rPr>
                <w:sz w:val="20"/>
                <w:szCs w:val="20"/>
                <w:color w:val="auto"/>
              </w:rPr>
            </w:pPr>
          </w:p>
        </w:tc>
      </w:tr>
      <w:tr>
        <w:trPr>
          <w:trHeight w:val="104"/>
        </w:trPr>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80" w:type="dxa"/>
            <w:vAlign w:val="bottom"/>
          </w:tcPr>
          <w:p>
            <w:pPr>
              <w:spacing w:after="0"/>
              <w:rPr>
                <w:sz w:val="9"/>
                <w:szCs w:val="9"/>
                <w:color w:val="auto"/>
              </w:rPr>
            </w:pPr>
          </w:p>
        </w:tc>
      </w:tr>
      <w:tr>
        <w:trPr>
          <w:trHeight w:val="71"/>
        </w:trPr>
        <w:tc>
          <w:tcPr>
            <w:tcW w:w="640" w:type="dxa"/>
            <w:vAlign w:val="bottom"/>
            <w:shd w:val="clear" w:color="auto" w:fill="808080"/>
          </w:tcPr>
          <w:p>
            <w:pPr>
              <w:spacing w:after="0"/>
              <w:rPr>
                <w:sz w:val="6"/>
                <w:szCs w:val="6"/>
                <w:color w:val="auto"/>
              </w:rPr>
            </w:pPr>
          </w:p>
        </w:tc>
        <w:tc>
          <w:tcPr>
            <w:tcW w:w="660" w:type="dxa"/>
            <w:vAlign w:val="bottom"/>
            <w:shd w:val="clear" w:color="auto" w:fill="808080"/>
          </w:tcPr>
          <w:p>
            <w:pPr>
              <w:spacing w:after="0"/>
              <w:rPr>
                <w:sz w:val="6"/>
                <w:szCs w:val="6"/>
                <w:color w:val="auto"/>
              </w:rPr>
            </w:pPr>
          </w:p>
        </w:tc>
        <w:tc>
          <w:tcPr>
            <w:tcW w:w="544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2280" w:type="dxa"/>
            <w:vAlign w:val="bottom"/>
            <w:shd w:val="clear" w:color="auto" w:fill="808080"/>
          </w:tcPr>
          <w:p>
            <w:pPr>
              <w:spacing w:after="0"/>
              <w:rPr>
                <w:sz w:val="6"/>
                <w:szCs w:val="6"/>
                <w:color w:val="auto"/>
              </w:rPr>
            </w:pPr>
          </w:p>
        </w:tc>
      </w:tr>
      <w:tr>
        <w:trPr>
          <w:trHeight w:val="419"/>
        </w:trPr>
        <w:tc>
          <w:tcPr>
            <w:tcW w:w="64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5440" w:type="dxa"/>
            <w:vAlign w:val="bottom"/>
            <w:tcBorders>
              <w:bottom w:val="single" w:sz="8" w:color="DCDCDC"/>
            </w:tcBorders>
          </w:tcPr>
          <w:p>
            <w:pPr>
              <w:spacing w:after="0"/>
              <w:rPr>
                <w:sz w:val="24"/>
                <w:szCs w:val="24"/>
                <w:color w:val="auto"/>
              </w:rPr>
            </w:pPr>
          </w:p>
        </w:tc>
        <w:tc>
          <w:tcPr>
            <w:tcW w:w="240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p>
        </w:tc>
        <w:tc>
          <w:tcPr>
            <w:tcW w:w="972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Page</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PART I</w:t>
            </w:r>
          </w:p>
        </w:tc>
        <w:tc>
          <w:tcPr>
            <w:tcW w:w="9720" w:type="dxa"/>
            <w:vAlign w:val="bottom"/>
          </w:tcPr>
          <w:p>
            <w:pPr>
              <w:ind w:left="260"/>
              <w:spacing w:after="0"/>
              <w:rPr>
                <w:sz w:val="20"/>
                <w:szCs w:val="20"/>
                <w:color w:val="auto"/>
              </w:rPr>
            </w:pPr>
            <w:r>
              <w:rPr>
                <w:rFonts w:ascii="Arial" w:cs="Arial" w:eastAsia="Arial" w:hAnsi="Arial"/>
                <w:sz w:val="18"/>
                <w:szCs w:val="18"/>
                <w:color w:val="auto"/>
              </w:rPr>
              <w:t>FINANCIAL INFORMATION</w:t>
            </w:r>
          </w:p>
        </w:tc>
        <w:tc>
          <w:tcPr>
            <w:tcW w:w="800" w:type="dxa"/>
            <w:vAlign w:val="bottom"/>
          </w:tcPr>
          <w:p>
            <w:pPr>
              <w:spacing w:after="0"/>
              <w:rPr>
                <w:sz w:val="18"/>
                <w:szCs w:val="18"/>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260"/>
              <w:spacing w:after="0"/>
              <w:rPr>
                <w:sz w:val="20"/>
                <w:szCs w:val="20"/>
                <w:color w:val="auto"/>
              </w:rPr>
            </w:pPr>
            <w:r>
              <w:rPr>
                <w:rFonts w:ascii="Arial" w:cs="Arial" w:eastAsia="Arial" w:hAnsi="Arial"/>
                <w:sz w:val="18"/>
                <w:szCs w:val="18"/>
                <w:color w:val="auto"/>
              </w:rPr>
              <w:t>Unaudited Consolidated Financial Statements</w:t>
            </w:r>
          </w:p>
        </w:tc>
        <w:tc>
          <w:tcPr>
            <w:tcW w:w="8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Consolidated Balance Sheets as of September 30, 2014 and December 31, 2013</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900" w:type="dxa"/>
            <w:vAlign w:val="bottom"/>
          </w:tcPr>
          <w:p>
            <w:pPr>
              <w:spacing w:after="0"/>
              <w:rPr>
                <w:sz w:val="24"/>
                <w:szCs w:val="24"/>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Consolidated Statements of Income and Comprehensive Income for the Three and Nine Months Ended September 30, 2014 and</w:t>
            </w:r>
          </w:p>
        </w:tc>
        <w:tc>
          <w:tcPr>
            <w:tcW w:w="80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September 30, 2013</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900" w:type="dxa"/>
            <w:vAlign w:val="bottom"/>
          </w:tcPr>
          <w:p>
            <w:pPr>
              <w:spacing w:after="0"/>
              <w:rPr>
                <w:sz w:val="24"/>
                <w:szCs w:val="24"/>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Consolidated Statements of Cash Flows for the Nine Months Ended September 30, 2014 and September 30, 2013</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900" w:type="dxa"/>
            <w:vAlign w:val="bottom"/>
          </w:tcPr>
          <w:p>
            <w:pPr>
              <w:spacing w:after="0"/>
              <w:rPr>
                <w:sz w:val="24"/>
                <w:szCs w:val="24"/>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972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800" w:type="dxa"/>
            <w:vAlign w:val="bottom"/>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260"/>
              <w:spacing w:after="0"/>
              <w:rPr>
                <w:sz w:val="20"/>
                <w:szCs w:val="20"/>
                <w:color w:val="auto"/>
              </w:rPr>
            </w:pPr>
            <w:r>
              <w:rPr>
                <w:rFonts w:ascii="Arial" w:cs="Arial" w:eastAsia="Arial" w:hAnsi="Arial"/>
                <w:sz w:val="18"/>
                <w:szCs w:val="18"/>
                <w:color w:val="auto"/>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260"/>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00" w:type="dxa"/>
            <w:vAlign w:val="bottom"/>
          </w:tcPr>
          <w:p>
            <w:pPr>
              <w:spacing w:after="0"/>
              <w:rPr>
                <w:sz w:val="24"/>
                <w:szCs w:val="24"/>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Signatures</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675"/>
        </w:trPr>
        <w:tc>
          <w:tcPr>
            <w:tcW w:w="900" w:type="dxa"/>
            <w:vAlign w:val="bottom"/>
            <w:tcBorders>
              <w:bottom w:val="single" w:sz="8" w:color="DCDCDC"/>
            </w:tcBorders>
          </w:tcPr>
          <w:p>
            <w:pPr>
              <w:spacing w:after="0"/>
              <w:rPr>
                <w:sz w:val="24"/>
                <w:szCs w:val="24"/>
                <w:color w:val="auto"/>
              </w:rPr>
            </w:pPr>
          </w:p>
        </w:tc>
        <w:tc>
          <w:tcPr>
            <w:tcW w:w="9720" w:type="dxa"/>
            <w:vAlign w:val="bottom"/>
            <w:tcBorders>
              <w:bottom w:val="single" w:sz="8" w:color="DCDCDC"/>
            </w:tcBorders>
          </w:tcPr>
          <w:p>
            <w:pPr>
              <w:ind w:left="4760"/>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43,507</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72,660</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48,108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79,921</w:t>
            </w: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5,374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Long term deferred tax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55,798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89,329</w:t>
            </w: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w w:val="92"/>
              </w:rPr>
              <w:t>Common stock, $.01 par value; 70,000,000 shares authorized; issued and outstanding 22,804,720 as of September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30, 2014 and 22,574,251 as of December 31, 2013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103,657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101,293</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(16,244)</w:t>
            </w:r>
          </w:p>
        </w:tc>
        <w:tc>
          <w:tcPr>
            <w:tcW w:w="0" w:type="dxa"/>
            <w:vAlign w:val="bottom"/>
          </w:tcPr>
          <w:p>
            <w:pPr>
              <w:spacing w:after="0"/>
              <w:rPr>
                <w:sz w:val="1"/>
                <w:szCs w:val="1"/>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52,009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85,150</w:t>
            </w:r>
          </w:p>
        </w:tc>
        <w:tc>
          <w:tcPr>
            <w:tcW w:w="0" w:type="dxa"/>
            <w:vAlign w:val="bottom"/>
          </w:tcPr>
          <w:p>
            <w:pPr>
              <w:spacing w:after="0"/>
              <w:rPr>
                <w:sz w:val="1"/>
                <w:szCs w:val="1"/>
                <w:color w:val="auto"/>
              </w:rPr>
            </w:pPr>
          </w:p>
        </w:tc>
      </w:tr>
      <w:tr>
        <w:trPr>
          <w:trHeight w:val="432"/>
        </w:trPr>
        <w:tc>
          <w:tcPr>
            <w:tcW w:w="88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55,798</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89,329</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Software licenses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3,077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2,268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6,759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Software maintenance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Hardware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60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19,411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13,720</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hardware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3"/>
        </w:trPr>
        <w:tc>
          <w:tcPr>
            <w:tcW w:w="608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14,692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439"/>
        </w:trPr>
        <w:tc>
          <w:tcPr>
            <w:tcW w:w="6080" w:type="dxa"/>
            <w:vAlign w:val="bottom"/>
          </w:tcPr>
          <w:p>
            <w:pPr>
              <w:spacing w:after="0"/>
              <w:rPr>
                <w:sz w:val="20"/>
                <w:szCs w:val="20"/>
                <w:color w:val="auto"/>
              </w:rPr>
            </w:pPr>
            <w:r>
              <w:rPr>
                <w:rFonts w:ascii="Arial" w:cs="Arial" w:eastAsia="Arial" w:hAnsi="Arial"/>
                <w:sz w:val="18"/>
                <w:szCs w:val="18"/>
                <w:color w:val="auto"/>
              </w:rPr>
              <w:t>Patent related income</w:t>
            </w: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6,846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4,198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1,145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6,969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2,599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4,344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2,599</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8"/>
                <w:szCs w:val="18"/>
                <w:color w:val="auto"/>
              </w:rPr>
              <w:t>Basic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7"/>
        </w:trPr>
        <w:tc>
          <w:tcPr>
            <w:tcW w:w="6080" w:type="dxa"/>
            <w:vAlign w:val="bottom"/>
          </w:tcPr>
          <w:p>
            <w:pPr>
              <w:ind w:left="140"/>
              <w:spacing w:after="0"/>
              <w:rPr>
                <w:sz w:val="20"/>
                <w:szCs w:val="20"/>
                <w:color w:val="auto"/>
              </w:rPr>
            </w:pPr>
            <w:r>
              <w:rPr>
                <w:rFonts w:ascii="Arial" w:cs="Arial" w:eastAsia="Arial" w:hAnsi="Arial"/>
                <w:sz w:val="18"/>
                <w:szCs w:val="18"/>
                <w:color w:val="auto"/>
              </w:rPr>
              <w:t>Basic net loss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8"/>
                <w:szCs w:val="18"/>
                <w:color w:val="auto"/>
              </w:rPr>
              <w:t>Diluted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7"/>
        </w:trPr>
        <w:tc>
          <w:tcPr>
            <w:tcW w:w="6080" w:type="dxa"/>
            <w:vAlign w:val="bottom"/>
          </w:tcPr>
          <w:p>
            <w:pPr>
              <w:ind w:left="140"/>
              <w:spacing w:after="0"/>
              <w:rPr>
                <w:sz w:val="20"/>
                <w:szCs w:val="20"/>
                <w:color w:val="auto"/>
              </w:rPr>
            </w:pPr>
            <w:r>
              <w:rPr>
                <w:rFonts w:ascii="Arial" w:cs="Arial" w:eastAsia="Arial" w:hAnsi="Arial"/>
                <w:sz w:val="18"/>
                <w:szCs w:val="18"/>
                <w:color w:val="auto"/>
              </w:rPr>
              <w:t>Diluted net loss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6080" w:type="dxa"/>
            <w:vAlign w:val="bottom"/>
          </w:tcPr>
          <w:p>
            <w:pPr>
              <w:spacing w:after="0"/>
              <w:rPr>
                <w:sz w:val="20"/>
                <w:szCs w:val="20"/>
                <w:color w:val="auto"/>
              </w:rPr>
            </w:pPr>
            <w:r>
              <w:rPr>
                <w:rFonts w:ascii="Arial" w:cs="Arial" w:eastAsia="Arial" w:hAnsi="Arial"/>
                <w:sz w:val="18"/>
                <w:szCs w:val="18"/>
                <w:color w:val="auto"/>
              </w:rPr>
              <w:t>Weighted-average shares - basic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22,804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22,571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22,687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22,533</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22,571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22,781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22,623</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2,599</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Unrealized gains (losses) on available for sale securities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Gain on sale of patent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Deferred tax provision on other comprehensive income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(Gain) loss on sale of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Amortization of premium/(discount) on investments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Receivable from patent arrangement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Accrued expenses, compensation, and professional</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Due to customers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37"/>
        </w:trPr>
        <w:tc>
          <w:tcPr>
            <w:tcW w:w="88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3"/>
        </w:trPr>
        <w:tc>
          <w:tcPr>
            <w:tcW w:w="882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Sales of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Proceeds from sale of patent assets, net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Purchase of other assets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8820" w:type="dxa"/>
            <w:vAlign w:val="bottom"/>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Payment of dividends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Payments made for taxes of employees who surrendered shares related to unrestricted stock</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82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Increase/(decrease) in cash and cash equivalents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(29,153)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72,660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71,074</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43,507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75,418</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color w:val="auto"/>
              </w:rPr>
              <w:t>Supplemental disclosure: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financial statements have been prepared in accordance with the instructions for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2013 in conjunction with our 2013 Annual Report on Form 10-K. This Form 10-Q should be read in conjunction with that Form 10-K.</w:t>
      </w:r>
    </w:p>
    <w:p>
      <w:pPr>
        <w:spacing w:after="0" w:line="215"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The accompanying unaudited consolidated balance sheets, statements of income and comprehensive income, and statements of cash flows reflect all adjustments (consisting only of normal recurring items) which are, in the opinion of management, necessary for a fair presentation of financial position at September 30, 2014, and of operations and cash flows for the interim periods ended September 30, 2014 and 2013.</w:t>
      </w:r>
    </w:p>
    <w:p>
      <w:pPr>
        <w:spacing w:after="0" w:line="19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September 30, 2014 are not necessarily indicative of the results to be expected for the year.</w:t>
      </w:r>
    </w:p>
    <w:p>
      <w:pPr>
        <w:spacing w:after="0" w:line="263"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Codification defines fair value, and establishes a fair value hierarchy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204"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Cash and cash equivalents, which primarily include money market mutual funds, were $43.5 million and $72.7 million as of September 30, 2014 and December 31, 2013, respectively. We classified our cash equivalents of $34.3 million and $68.6 million as of September 30, 2014 and December 31, 2013 within Level 1 of the fair value hierarchy because they are valued using quoted market prices.</w:t>
      </w:r>
    </w:p>
    <w:p>
      <w:pPr>
        <w:spacing w:after="0" w:line="208"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7"/>
          <w:szCs w:val="17"/>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$1.4 million and $2.8 million of available-for-sale investments as of September 30, 2014 and December 31, 2013, respectively.</w:t>
      </w:r>
    </w:p>
    <w:p>
      <w:pPr>
        <w:spacing w:after="0" w:line="192"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As of September 30, 2014,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0"/>
              </w:rPr>
              <w:t>Fair Value Measurement at September 30, 2014 Using:</w:t>
            </w:r>
          </w:p>
        </w:tc>
        <w:tc>
          <w:tcPr>
            <w:tcW w:w="2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8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w w:val="93"/>
              </w:rPr>
              <w:t>Quoted Prices in</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5"/>
              <w:spacing w:after="0" w:line="201" w:lineRule="exact"/>
              <w:rPr>
                <w:sz w:val="20"/>
                <w:szCs w:val="20"/>
                <w:color w:val="auto"/>
              </w:rPr>
            </w:pPr>
            <w:r>
              <w:rPr>
                <w:rFonts w:ascii="Arial" w:cs="Arial" w:eastAsia="Arial" w:hAnsi="Arial"/>
                <w:sz w:val="18"/>
                <w:szCs w:val="18"/>
                <w:color w:val="auto"/>
              </w:rPr>
              <w:t>Significant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Active Markets for</w:t>
            </w:r>
          </w:p>
        </w:tc>
        <w:tc>
          <w:tcPr>
            <w:tcW w:w="8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w w:val="91"/>
              </w:rPr>
              <w:t>Significant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3"/>
              </w:rPr>
              <w:t>Unobservable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0"/>
              </w:rPr>
              <w:t>Identical Assets</w:t>
            </w:r>
          </w:p>
        </w:tc>
        <w:tc>
          <w:tcPr>
            <w:tcW w:w="8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w w:val="94"/>
              </w:rPr>
              <w:t>Observable Inputs</w:t>
            </w:r>
          </w:p>
        </w:tc>
        <w:tc>
          <w:tcPr>
            <w:tcW w:w="100" w:type="dxa"/>
            <w:vAlign w:val="bottom"/>
          </w:tcPr>
          <w:p>
            <w:pPr>
              <w:spacing w:after="0"/>
              <w:rPr>
                <w:sz w:val="18"/>
                <w:szCs w:val="18"/>
                <w:color w:val="auto"/>
              </w:rPr>
            </w:pP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Inputs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80" w:type="dxa"/>
            <w:vAlign w:val="bottom"/>
          </w:tcPr>
          <w:p>
            <w:pPr>
              <w:spacing w:after="0"/>
              <w:rPr>
                <w:sz w:val="20"/>
                <w:szCs w:val="20"/>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(Level 3)</w:t>
            </w:r>
          </w:p>
        </w:tc>
        <w:tc>
          <w:tcPr>
            <w:tcW w:w="2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rPr>
              <w:t>Corporate debt securities</w:t>
            </w:r>
          </w:p>
        </w:tc>
        <w:tc>
          <w:tcPr>
            <w:tcW w:w="154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1,362</w:t>
            </w:r>
          </w:p>
        </w:tc>
        <w:tc>
          <w:tcPr>
            <w:tcW w:w="80" w:type="dxa"/>
            <w:vAlign w:val="bottom"/>
          </w:tcPr>
          <w:p>
            <w:pPr>
              <w:spacing w:after="0"/>
              <w:rPr>
                <w:sz w:val="17"/>
                <w:szCs w:val="17"/>
                <w:color w:val="auto"/>
              </w:rPr>
            </w:pPr>
          </w:p>
        </w:tc>
        <w:tc>
          <w:tcPr>
            <w:tcW w:w="12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80" w:type="dxa"/>
            <w:vAlign w:val="bottom"/>
          </w:tcPr>
          <w:p>
            <w:pPr>
              <w:jc w:val="right"/>
              <w:ind w:right="91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340"/>
              <w:spacing w:after="0"/>
              <w:rPr>
                <w:sz w:val="20"/>
                <w:szCs w:val="20"/>
                <w:color w:val="auto"/>
              </w:rPr>
            </w:pPr>
            <w:r>
              <w:rPr>
                <w:rFonts w:ascii="Arial" w:cs="Arial" w:eastAsia="Arial" w:hAnsi="Arial"/>
                <w:sz w:val="18"/>
                <w:szCs w:val="18"/>
                <w:color w:val="auto"/>
                <w:w w:val="99"/>
              </w:rPr>
              <w:t>Money market funds (included in cash and cash equivalents)</w:t>
            </w: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34,289</w:t>
            </w:r>
          </w:p>
        </w:tc>
        <w:tc>
          <w:tcPr>
            <w:tcW w:w="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35,651</w:t>
            </w:r>
          </w:p>
        </w:tc>
        <w:tc>
          <w:tcPr>
            <w:tcW w:w="80" w:type="dxa"/>
            <w:vAlign w:val="bottom"/>
          </w:tcPr>
          <w:p>
            <w:pPr>
              <w:spacing w:after="0"/>
              <w:rPr>
                <w:sz w:val="18"/>
                <w:szCs w:val="18"/>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15"/>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540" w:type="dxa"/>
            <w:vAlign w:val="bottom"/>
            <w:vMerge w:val="restart"/>
          </w:tcPr>
          <w:p>
            <w:pPr>
              <w:jc w:val="right"/>
              <w:ind w:right="8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180" w:type="dxa"/>
            <w:vAlign w:val="bottom"/>
            <w:tcBorders>
              <w:bottom w:val="single" w:sz="8" w:color="DCDCDC"/>
            </w:tcBorders>
          </w:tcPr>
          <w:p>
            <w:pPr>
              <w:spacing w:after="0"/>
              <w:rPr>
                <w:sz w:val="24"/>
                <w:szCs w:val="24"/>
                <w:color w:val="auto"/>
              </w:rPr>
            </w:pPr>
          </w:p>
        </w:tc>
        <w:tc>
          <w:tcPr>
            <w:tcW w:w="1540" w:type="dxa"/>
            <w:vAlign w:val="bottom"/>
            <w:tcBorders>
              <w:bottom w:val="single" w:sz="8" w:color="DCDCDC"/>
            </w:tcBorders>
            <w:vMerge w:val="continue"/>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3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4" w:right="239" w:bottom="1440" w:gutter="0" w:footer="0" w:header="0"/>
        </w:sectPr>
      </w:pPr>
    </w:p>
    <w:bookmarkStart w:id="6" w:name="page7"/>
    <w:bookmarkEnd w:id="6"/>
    <w:p>
      <w:pPr>
        <w:ind w:left="340"/>
        <w:spacing w:after="0" w:line="277" w:lineRule="auto"/>
        <w:rPr>
          <w:sz w:val="20"/>
          <w:szCs w:val="20"/>
          <w:color w:val="auto"/>
        </w:rPr>
      </w:pPr>
      <w:r>
        <w:rPr>
          <w:rFonts w:ascii="Arial" w:cs="Arial" w:eastAsia="Arial" w:hAnsi="Arial"/>
          <w:sz w:val="18"/>
          <w:szCs w:val="18"/>
          <w:color w:val="auto"/>
        </w:rPr>
        <w:t>As of December 31, 2013,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6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1"/>
              </w:rPr>
              <w:t>Fair Value Measurement at December 31, 2013 Using:</w:t>
            </w:r>
          </w:p>
        </w:tc>
        <w:tc>
          <w:tcPr>
            <w:tcW w:w="200" w:type="dxa"/>
            <w:vAlign w:val="bottom"/>
            <w:tcBorders>
              <w:bottom w:val="single" w:sz="8" w:color="auto"/>
            </w:tcBorders>
          </w:tcPr>
          <w:p>
            <w:pPr>
              <w:spacing w:after="0"/>
              <w:rPr>
                <w:sz w:val="20"/>
                <w:szCs w:val="20"/>
                <w:color w:val="auto"/>
              </w:rPr>
            </w:pPr>
          </w:p>
        </w:tc>
      </w:tr>
      <w:tr>
        <w:trPr>
          <w:trHeight w:val="202"/>
        </w:trPr>
        <w:tc>
          <w:tcPr>
            <w:tcW w:w="6380" w:type="dxa"/>
            <w:vAlign w:val="bottom"/>
          </w:tcPr>
          <w:p>
            <w:pPr>
              <w:spacing w:after="0"/>
              <w:rPr>
                <w:sz w:val="17"/>
                <w:szCs w:val="17"/>
                <w:color w:val="auto"/>
              </w:rPr>
            </w:pPr>
          </w:p>
        </w:tc>
        <w:tc>
          <w:tcPr>
            <w:tcW w:w="148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w w:val="93"/>
              </w:rPr>
              <w:t>Quoted Prices in</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15"/>
              <w:spacing w:after="0" w:line="201" w:lineRule="exact"/>
              <w:rPr>
                <w:sz w:val="20"/>
                <w:szCs w:val="20"/>
                <w:color w:val="auto"/>
              </w:rPr>
            </w:pPr>
            <w:r>
              <w:rPr>
                <w:rFonts w:ascii="Arial" w:cs="Arial" w:eastAsia="Arial" w:hAnsi="Arial"/>
                <w:sz w:val="18"/>
                <w:szCs w:val="18"/>
                <w:color w:val="auto"/>
                <w:w w:val="93"/>
              </w:rPr>
              <w:t>Significant</w:t>
            </w:r>
          </w:p>
        </w:tc>
        <w:tc>
          <w:tcPr>
            <w:tcW w:w="200" w:type="dxa"/>
            <w:vAlign w:val="bottom"/>
          </w:tcPr>
          <w:p>
            <w:pPr>
              <w:spacing w:after="0"/>
              <w:rPr>
                <w:sz w:val="17"/>
                <w:szCs w:val="17"/>
                <w:color w:val="auto"/>
              </w:rPr>
            </w:pPr>
          </w:p>
        </w:tc>
      </w:tr>
      <w:tr>
        <w:trPr>
          <w:trHeight w:val="216"/>
        </w:trPr>
        <w:tc>
          <w:tcPr>
            <w:tcW w:w="63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Active Markets for</w:t>
            </w:r>
          </w:p>
        </w:tc>
        <w:tc>
          <w:tcPr>
            <w:tcW w:w="8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w w:val="91"/>
              </w:rPr>
              <w:t>Significant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3"/>
              </w:rPr>
              <w:t>Unobservable</w:t>
            </w:r>
          </w:p>
        </w:tc>
        <w:tc>
          <w:tcPr>
            <w:tcW w:w="200" w:type="dxa"/>
            <w:vAlign w:val="bottom"/>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0"/>
              </w:rPr>
              <w:t>Identical Assets</w:t>
            </w:r>
          </w:p>
        </w:tc>
        <w:tc>
          <w:tcPr>
            <w:tcW w:w="8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w w:val="94"/>
              </w:rPr>
              <w:t>Observable Inputs</w:t>
            </w:r>
          </w:p>
        </w:tc>
        <w:tc>
          <w:tcPr>
            <w:tcW w:w="100" w:type="dxa"/>
            <w:vAlign w:val="bottom"/>
          </w:tcPr>
          <w:p>
            <w:pPr>
              <w:spacing w:after="0"/>
              <w:rPr>
                <w:sz w:val="18"/>
                <w:szCs w:val="18"/>
                <w:color w:val="auto"/>
              </w:rPr>
            </w:pPr>
          </w:p>
        </w:tc>
        <w:tc>
          <w:tcPr>
            <w:tcW w:w="1080" w:type="dxa"/>
            <w:vAlign w:val="bottom"/>
          </w:tcPr>
          <w:p>
            <w:pPr>
              <w:jc w:val="center"/>
              <w:ind w:left="15"/>
              <w:spacing w:after="0"/>
              <w:rPr>
                <w:sz w:val="20"/>
                <w:szCs w:val="20"/>
                <w:color w:val="auto"/>
              </w:rPr>
            </w:pPr>
            <w:r>
              <w:rPr>
                <w:rFonts w:ascii="Arial" w:cs="Arial" w:eastAsia="Arial" w:hAnsi="Arial"/>
                <w:sz w:val="18"/>
                <w:szCs w:val="18"/>
                <w:color w:val="auto"/>
                <w:w w:val="93"/>
              </w:rPr>
              <w:t>Inputs</w:t>
            </w:r>
          </w:p>
        </w:tc>
        <w:tc>
          <w:tcPr>
            <w:tcW w:w="200" w:type="dxa"/>
            <w:vAlign w:val="bottom"/>
          </w:tcPr>
          <w:p>
            <w:pPr>
              <w:spacing w:after="0"/>
              <w:rPr>
                <w:sz w:val="18"/>
                <w:szCs w:val="18"/>
                <w:color w:val="auto"/>
              </w:rPr>
            </w:pPr>
          </w:p>
        </w:tc>
      </w:tr>
      <w:tr>
        <w:trPr>
          <w:trHeight w:val="237"/>
        </w:trPr>
        <w:tc>
          <w:tcPr>
            <w:tcW w:w="6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80" w:type="dxa"/>
            <w:vAlign w:val="bottom"/>
          </w:tcPr>
          <w:p>
            <w:pPr>
              <w:spacing w:after="0"/>
              <w:rPr>
                <w:sz w:val="20"/>
                <w:szCs w:val="20"/>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ind w:left="15"/>
              <w:spacing w:after="0"/>
              <w:rPr>
                <w:sz w:val="20"/>
                <w:szCs w:val="20"/>
                <w:color w:val="auto"/>
              </w:rPr>
            </w:pPr>
            <w:r>
              <w:rPr>
                <w:rFonts w:ascii="Arial" w:cs="Arial" w:eastAsia="Arial" w:hAnsi="Arial"/>
                <w:sz w:val="18"/>
                <w:szCs w:val="18"/>
                <w:color w:val="auto"/>
                <w:w w:val="94"/>
              </w:rPr>
              <w:t>(Level 3)</w:t>
            </w:r>
          </w:p>
        </w:tc>
        <w:tc>
          <w:tcPr>
            <w:tcW w:w="200" w:type="dxa"/>
            <w:vAlign w:val="bottom"/>
            <w:tcBorders>
              <w:bottom w:val="single" w:sz="8" w:color="auto"/>
            </w:tcBorders>
          </w:tcPr>
          <w:p>
            <w:pPr>
              <w:spacing w:after="0"/>
              <w:rPr>
                <w:sz w:val="20"/>
                <w:szCs w:val="20"/>
                <w:color w:val="auto"/>
              </w:rPr>
            </w:pPr>
          </w:p>
        </w:tc>
      </w:tr>
      <w:tr>
        <w:trPr>
          <w:trHeight w:val="202"/>
        </w:trPr>
        <w:tc>
          <w:tcPr>
            <w:tcW w:w="6380" w:type="dxa"/>
            <w:vAlign w:val="bottom"/>
          </w:tcPr>
          <w:p>
            <w:pPr>
              <w:spacing w:after="0" w:line="201" w:lineRule="exact"/>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2,754</w:t>
            </w:r>
          </w:p>
        </w:tc>
        <w:tc>
          <w:tcPr>
            <w:tcW w:w="80" w:type="dxa"/>
            <w:vAlign w:val="bottom"/>
          </w:tcPr>
          <w:p>
            <w:pPr>
              <w:spacing w:after="0"/>
              <w:rPr>
                <w:sz w:val="17"/>
                <w:szCs w:val="17"/>
                <w:color w:val="auto"/>
              </w:rPr>
            </w:pPr>
          </w:p>
        </w:tc>
        <w:tc>
          <w:tcPr>
            <w:tcW w:w="12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80" w:type="dxa"/>
            <w:vAlign w:val="bottom"/>
          </w:tcPr>
          <w:p>
            <w:pPr>
              <w:jc w:val="right"/>
              <w:ind w:right="91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r>
      <w:tr>
        <w:trPr>
          <w:trHeight w:val="237"/>
        </w:trPr>
        <w:tc>
          <w:tcPr>
            <w:tcW w:w="638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68,556</w:t>
            </w:r>
          </w:p>
        </w:tc>
        <w:tc>
          <w:tcPr>
            <w:tcW w:w="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16"/>
        </w:trPr>
        <w:tc>
          <w:tcPr>
            <w:tcW w:w="6380" w:type="dxa"/>
            <w:vAlign w:val="bottom"/>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71,310</w:t>
            </w:r>
          </w:p>
        </w:tc>
        <w:tc>
          <w:tcPr>
            <w:tcW w:w="80" w:type="dxa"/>
            <w:vAlign w:val="bottom"/>
          </w:tcPr>
          <w:p>
            <w:pPr>
              <w:spacing w:after="0"/>
              <w:rPr>
                <w:sz w:val="18"/>
                <w:szCs w:val="18"/>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15"/>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net realizable value with cost being determined by the first-in, first-out (“FIFO”)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Inventories consisted of the following (in thousands):</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10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02"/>
        </w:trPr>
        <w:tc>
          <w:tcPr>
            <w:tcW w:w="430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2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1,584</w:t>
            </w: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r>
      <w:tr>
        <w:trPr>
          <w:trHeight w:val="216"/>
        </w:trPr>
        <w:tc>
          <w:tcPr>
            <w:tcW w:w="430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1,601</w:t>
            </w:r>
          </w:p>
        </w:tc>
      </w:tr>
      <w:tr>
        <w:trPr>
          <w:trHeight w:val="21"/>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Net income per share is calculated as follows (in thousands,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8"/>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8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5"/>
              </w:rPr>
              <w:t>Net income:</w:t>
            </w:r>
          </w:p>
        </w:tc>
        <w:tc>
          <w:tcPr>
            <w:tcW w:w="392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760" w:type="dxa"/>
            <w:vAlign w:val="bottom"/>
            <w:gridSpan w:val="5"/>
          </w:tcPr>
          <w:p>
            <w:pPr>
              <w:ind w:left="8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2,599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3,227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760" w:type="dxa"/>
            <w:vAlign w:val="bottom"/>
            <w:gridSpan w:val="5"/>
          </w:tcPr>
          <w:p>
            <w:pPr>
              <w:ind w:left="80"/>
              <w:spacing w:after="0"/>
              <w:rPr>
                <w:sz w:val="20"/>
                <w:szCs w:val="20"/>
                <w:color w:val="auto"/>
              </w:rPr>
            </w:pPr>
            <w:r>
              <w:rPr>
                <w:rFonts w:ascii="Arial" w:cs="Arial" w:eastAsia="Arial" w:hAnsi="Arial"/>
                <w:sz w:val="18"/>
                <w:szCs w:val="18"/>
                <w:color w:val="auto"/>
              </w:rPr>
              <w:t>Loss from discontinued operations</w:t>
            </w: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60" w:type="dxa"/>
            <w:vAlign w:val="bottom"/>
            <w:gridSpan w:val="5"/>
          </w:tcPr>
          <w:p>
            <w:pPr>
              <w:ind w:left="320"/>
              <w:spacing w:after="0"/>
              <w:rPr>
                <w:sz w:val="20"/>
                <w:szCs w:val="20"/>
                <w:color w:val="auto"/>
              </w:rPr>
            </w:pPr>
            <w:r>
              <w:rPr>
                <w:rFonts w:ascii="Arial" w:cs="Arial" w:eastAsia="Arial" w:hAnsi="Arial"/>
                <w:sz w:val="18"/>
                <w:szCs w:val="18"/>
                <w:color w:val="auto"/>
              </w:rPr>
              <w:t>Net income (loss)</w:t>
            </w:r>
          </w:p>
        </w:tc>
        <w:tc>
          <w:tcPr>
            <w:tcW w:w="8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760" w:type="dxa"/>
            <w:vAlign w:val="bottom"/>
            <w:gridSpan w:val="5"/>
            <w:vMerge w:val="restart"/>
          </w:tcPr>
          <w:p>
            <w:pPr>
              <w:spacing w:after="0"/>
              <w:rPr>
                <w:sz w:val="20"/>
                <w:szCs w:val="20"/>
                <w:color w:val="auto"/>
              </w:rPr>
            </w:pPr>
            <w:r>
              <w:rPr>
                <w:rFonts w:ascii="Arial" w:cs="Arial" w:eastAsia="Arial" w:hAnsi="Arial"/>
                <w:sz w:val="18"/>
                <w:szCs w:val="18"/>
                <w:color w:val="auto"/>
              </w:rPr>
              <w:t>Shares outstanding:</w:t>
            </w: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4760" w:type="dxa"/>
            <w:vAlign w:val="bottom"/>
            <w:gridSpan w:val="5"/>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auto"/>
            </w:tcBorders>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4760" w:type="dxa"/>
            <w:vAlign w:val="bottom"/>
            <w:gridSpan w:val="5"/>
          </w:tcPr>
          <w:p>
            <w:pPr>
              <w:ind w:left="80"/>
              <w:spacing w:after="0"/>
              <w:rPr>
                <w:sz w:val="20"/>
                <w:szCs w:val="20"/>
                <w:color w:val="auto"/>
              </w:rPr>
            </w:pPr>
            <w:r>
              <w:rPr>
                <w:rFonts w:ascii="Arial" w:cs="Arial" w:eastAsia="Arial" w:hAnsi="Arial"/>
                <w:sz w:val="18"/>
                <w:szCs w:val="18"/>
                <w:color w:val="auto"/>
              </w:rPr>
              <w:t>Weighted-average common shares outstanding</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22,571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22,533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760" w:type="dxa"/>
            <w:vAlign w:val="bottom"/>
            <w:gridSpan w:val="5"/>
          </w:tcPr>
          <w:p>
            <w:pPr>
              <w:ind w:left="80"/>
              <w:spacing w:after="0"/>
              <w:rPr>
                <w:sz w:val="20"/>
                <w:szCs w:val="20"/>
                <w:color w:val="auto"/>
              </w:rPr>
            </w:pPr>
            <w:r>
              <w:rPr>
                <w:rFonts w:ascii="Arial" w:cs="Arial" w:eastAsia="Arial" w:hAnsi="Arial"/>
                <w:sz w:val="18"/>
                <w:szCs w:val="18"/>
                <w:color w:val="auto"/>
              </w:rPr>
              <w:t>Additional dilutive common stock equivalents</w:t>
            </w: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60" w:type="dxa"/>
            <w:vAlign w:val="bottom"/>
            <w:gridSpan w:val="5"/>
          </w:tcPr>
          <w:p>
            <w:pPr>
              <w:ind w:left="80"/>
              <w:spacing w:after="0"/>
              <w:rPr>
                <w:sz w:val="20"/>
                <w:szCs w:val="20"/>
                <w:color w:val="auto"/>
              </w:rPr>
            </w:pPr>
            <w:r>
              <w:rPr>
                <w:rFonts w:ascii="Arial" w:cs="Arial" w:eastAsia="Arial" w:hAnsi="Arial"/>
                <w:sz w:val="18"/>
                <w:szCs w:val="18"/>
                <w:color w:val="auto"/>
              </w:rPr>
              <w:t>Diluted shares outstanding</w:t>
            </w: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22,571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22,781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760" w:type="dxa"/>
            <w:vAlign w:val="bottom"/>
            <w:gridSpan w:val="5"/>
            <w:vMerge w:val="restart"/>
          </w:tcPr>
          <w:p>
            <w:pPr>
              <w:spacing w:after="0"/>
              <w:rPr>
                <w:sz w:val="20"/>
                <w:szCs w:val="20"/>
                <w:color w:val="auto"/>
              </w:rPr>
            </w:pPr>
            <w:r>
              <w:rPr>
                <w:rFonts w:ascii="Arial" w:cs="Arial" w:eastAsia="Arial" w:hAnsi="Arial"/>
                <w:sz w:val="18"/>
                <w:szCs w:val="18"/>
                <w:color w:val="auto"/>
              </w:rPr>
              <w:t>Basic net income (loss) per share:</w:t>
            </w: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4760" w:type="dxa"/>
            <w:vAlign w:val="bottom"/>
            <w:gridSpan w:val="5"/>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4760" w:type="dxa"/>
            <w:vAlign w:val="bottom"/>
            <w:gridSpan w:val="5"/>
          </w:tcPr>
          <w:p>
            <w:pPr>
              <w:ind w:left="140"/>
              <w:spacing w:after="0"/>
              <w:rPr>
                <w:sz w:val="20"/>
                <w:szCs w:val="20"/>
                <w:color w:val="auto"/>
              </w:rPr>
            </w:pPr>
            <w:r>
              <w:rPr>
                <w:rFonts w:ascii="Arial" w:cs="Arial" w:eastAsia="Arial" w:hAnsi="Arial"/>
                <w:sz w:val="18"/>
                <w:szCs w:val="18"/>
                <w:color w:val="auto"/>
              </w:rPr>
              <w:t>Basic net income per share from continuing operations</w:t>
            </w:r>
          </w:p>
        </w:tc>
        <w:tc>
          <w:tcPr>
            <w:tcW w:w="10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760" w:type="dxa"/>
            <w:vAlign w:val="bottom"/>
            <w:gridSpan w:val="5"/>
          </w:tcPr>
          <w:p>
            <w:pPr>
              <w:ind w:left="140"/>
              <w:spacing w:after="0"/>
              <w:rPr>
                <w:sz w:val="20"/>
                <w:szCs w:val="20"/>
                <w:color w:val="auto"/>
              </w:rPr>
            </w:pPr>
            <w:r>
              <w:rPr>
                <w:rFonts w:ascii="Arial" w:cs="Arial" w:eastAsia="Arial" w:hAnsi="Arial"/>
                <w:sz w:val="18"/>
                <w:szCs w:val="18"/>
                <w:color w:val="auto"/>
              </w:rPr>
              <w:t>Basic net loss per share from discontinued operations</w:t>
            </w: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60" w:type="dxa"/>
            <w:vAlign w:val="bottom"/>
            <w:gridSpan w:val="5"/>
          </w:tcPr>
          <w:p>
            <w:pPr>
              <w:ind w:left="260"/>
              <w:spacing w:after="0"/>
              <w:rPr>
                <w:sz w:val="20"/>
                <w:szCs w:val="20"/>
                <w:color w:val="auto"/>
              </w:rPr>
            </w:pPr>
            <w:r>
              <w:rPr>
                <w:rFonts w:ascii="Arial" w:cs="Arial" w:eastAsia="Arial" w:hAnsi="Arial"/>
                <w:sz w:val="18"/>
                <w:szCs w:val="18"/>
                <w:color w:val="auto"/>
              </w:rPr>
              <w:t>Basic net income (loss) per share</w:t>
            </w:r>
          </w:p>
        </w:tc>
        <w:tc>
          <w:tcPr>
            <w:tcW w:w="8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760" w:type="dxa"/>
            <w:vAlign w:val="bottom"/>
            <w:gridSpan w:val="5"/>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4760" w:type="dxa"/>
            <w:vAlign w:val="bottom"/>
            <w:gridSpan w:val="5"/>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520" w:type="dxa"/>
            <w:vAlign w:val="bottom"/>
            <w:gridSpan w:val="4"/>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4760" w:type="dxa"/>
            <w:vAlign w:val="bottom"/>
            <w:gridSpan w:val="5"/>
          </w:tcPr>
          <w:p>
            <w:pPr>
              <w:ind w:left="140"/>
              <w:spacing w:after="0"/>
              <w:rPr>
                <w:sz w:val="20"/>
                <w:szCs w:val="20"/>
                <w:color w:val="auto"/>
              </w:rPr>
            </w:pPr>
            <w:r>
              <w:rPr>
                <w:rFonts w:ascii="Arial" w:cs="Arial" w:eastAsia="Arial" w:hAnsi="Arial"/>
                <w:sz w:val="18"/>
                <w:szCs w:val="18"/>
                <w:color w:val="auto"/>
              </w:rPr>
              <w:t>Diluted net income per share from continuing operations</w:t>
            </w:r>
          </w:p>
        </w:tc>
        <w:tc>
          <w:tcPr>
            <w:tcW w:w="10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760" w:type="dxa"/>
            <w:vAlign w:val="bottom"/>
            <w:gridSpan w:val="5"/>
          </w:tcPr>
          <w:p>
            <w:pPr>
              <w:ind w:left="140"/>
              <w:spacing w:after="0"/>
              <w:rPr>
                <w:sz w:val="20"/>
                <w:szCs w:val="20"/>
                <w:color w:val="auto"/>
              </w:rPr>
            </w:pPr>
            <w:r>
              <w:rPr>
                <w:rFonts w:ascii="Arial" w:cs="Arial" w:eastAsia="Arial" w:hAnsi="Arial"/>
                <w:sz w:val="18"/>
                <w:szCs w:val="18"/>
                <w:color w:val="auto"/>
              </w:rPr>
              <w:t>Diluted net loss per share from discontinued operations</w:t>
            </w: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60" w:type="dxa"/>
            <w:vAlign w:val="bottom"/>
            <w:gridSpan w:val="5"/>
          </w:tcPr>
          <w:p>
            <w:pPr>
              <w:ind w:left="260"/>
              <w:spacing w:after="0"/>
              <w:rPr>
                <w:sz w:val="20"/>
                <w:szCs w:val="20"/>
                <w:color w:val="auto"/>
              </w:rPr>
            </w:pPr>
            <w:r>
              <w:rPr>
                <w:rFonts w:ascii="Arial" w:cs="Arial" w:eastAsia="Arial" w:hAnsi="Arial"/>
                <w:sz w:val="18"/>
                <w:szCs w:val="18"/>
                <w:color w:val="auto"/>
              </w:rPr>
              <w:t>Diluted net income (loss) per share</w:t>
            </w:r>
          </w:p>
        </w:tc>
        <w:tc>
          <w:tcPr>
            <w:tcW w:w="8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8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24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vMerge w:val="continue"/>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7" w:name="page8"/>
    <w:bookmarkEnd w:id="7"/>
    <w:p>
      <w:pPr>
        <w:jc w:val="both"/>
        <w:ind w:left="340" w:right="20"/>
        <w:spacing w:after="0" w:line="277" w:lineRule="auto"/>
        <w:rPr>
          <w:sz w:val="20"/>
          <w:szCs w:val="20"/>
          <w:color w:val="auto"/>
        </w:rPr>
      </w:pPr>
      <w:r>
        <w:rPr>
          <w:rFonts w:ascii="Arial" w:cs="Arial" w:eastAsia="Arial" w:hAnsi="Arial"/>
          <w:sz w:val="18"/>
          <w:szCs w:val="18"/>
          <w:color w:val="auto"/>
        </w:rPr>
        <w:t>For the three month period ended September 30, 2013, common stock equivalents of 111,349 were not included in the per share calculation for diluted EPS, because we had a net loss and the effect of their inclusion would be anti-dilutive.</w:t>
      </w:r>
    </w:p>
    <w:p>
      <w:pPr>
        <w:spacing w:after="0" w:line="19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three month periods ended September 30, 2014 and 2013, options to purchase 40,834 and 825,338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nine month periods ended September 30, 2014 and 2013, options to purchase 40,834 and 825,338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8" w:lineRule="exact"/>
        <w:rPr>
          <w:sz w:val="20"/>
          <w:szCs w:val="20"/>
          <w:color w:val="auto"/>
        </w:rPr>
      </w:pPr>
    </w:p>
    <w:p>
      <w:pPr>
        <w:ind w:left="340" w:right="6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62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Cost of services</w:t>
            </w:r>
          </w:p>
        </w:tc>
        <w:tc>
          <w:tcPr>
            <w:tcW w:w="760" w:type="dxa"/>
            <w:vAlign w:val="bottom"/>
          </w:tcPr>
          <w:p>
            <w:pPr>
              <w:jc w:val="right"/>
              <w:ind w:right="59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Selling and marketing</w:t>
            </w:r>
          </w:p>
        </w:tc>
        <w:tc>
          <w:tcPr>
            <w:tcW w:w="7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242</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174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w:t>
            </w:r>
          </w:p>
        </w:tc>
      </w:tr>
      <w:tr>
        <w:trPr>
          <w:trHeight w:val="216"/>
        </w:trPr>
        <w:tc>
          <w:tcPr>
            <w:tcW w:w="5620" w:type="dxa"/>
            <w:vAlign w:val="bottom"/>
          </w:tcPr>
          <w:p>
            <w:pPr>
              <w:ind w:left="48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Borders>
              <w:bottom w:val="single" w:sz="8" w:color="auto"/>
            </w:tcBorders>
          </w:tcPr>
          <w:p>
            <w:pPr>
              <w:jc w:val="right"/>
              <w:ind w:right="59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297</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217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w:t>
            </w:r>
          </w:p>
        </w:tc>
      </w:tr>
      <w:tr>
        <w:trPr>
          <w:trHeight w:val="21"/>
        </w:trPr>
        <w:tc>
          <w:tcPr>
            <w:tcW w:w="5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Stock Option and SAR Grants</w:t>
      </w:r>
      <w:r>
        <w:rPr>
          <w:rFonts w:ascii="Arial" w:cs="Arial" w:eastAsia="Arial" w:hAnsi="Arial"/>
          <w:sz w:val="18"/>
          <w:szCs w:val="18"/>
          <w:color w:val="auto"/>
        </w:rPr>
        <w:t>. We grant stock options and stock appreciation rights (“SARs”) under our 2001 Nonqualified Stock Plan. We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stock options and SARs using the Black-Scholes valuation model. This valuation model 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and SARs. Estimates of fair value are not intended to predict actual future events or the value ultimately realized by persons who receive equity awards.</w:t>
      </w:r>
    </w:p>
    <w:p>
      <w:pPr>
        <w:spacing w:after="0" w:line="2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under our 2001 Nonqualified Stock Plan. Stock-based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Stock Option and SAR Grant Activity</w:t>
      </w:r>
      <w:r>
        <w:rPr>
          <w:rFonts w:ascii="Arial" w:cs="Arial" w:eastAsia="Arial" w:hAnsi="Arial"/>
          <w:sz w:val="18"/>
          <w:szCs w:val="18"/>
          <w:color w:val="auto"/>
        </w:rPr>
        <w:t>. We did not grant any stock options or SARs in the three and nine month periods ended September 30,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2013.</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Unrestricted Stock Grant Activity. </w:t>
      </w:r>
      <w:r>
        <w:rPr>
          <w:rFonts w:ascii="Arial" w:cs="Arial" w:eastAsia="Arial" w:hAnsi="Arial"/>
          <w:sz w:val="18"/>
          <w:szCs w:val="18"/>
          <w:color w:val="auto"/>
        </w:rPr>
        <w:t>We granted shares of unrestricted stock in 2014 and 2013 that affected financial results for the three and nine 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ended September 30, 2014 and 2013. These grants are described below.</w:t>
      </w:r>
    </w:p>
    <w:p>
      <w:pPr>
        <w:spacing w:after="0" w:line="19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2014 Grant</w:t>
      </w:r>
      <w:r>
        <w:rPr>
          <w:rFonts w:ascii="Arial" w:cs="Arial" w:eastAsia="Arial" w:hAnsi="Arial"/>
          <w:sz w:val="18"/>
          <w:szCs w:val="18"/>
          <w:color w:val="auto"/>
        </w:rPr>
        <w:t>. On March 26, 2014, we granted 152,000 shares of unrestricted stock to directors, officers and employees. The shares are to be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two equal installments shortly after June 30, 2014 and December 31, 2014, provided each grantee is serving as a director, officer or employee on those dates. The total stock-based compensation expense related to this grant is $876,000, of which $287,000 and $589,000 were charged to expense in the three and nine months ended September 30, 2014, respectively. We anticipate the remaining $287,000 will be charged to expense in the fourth quarter of 2014.</w:t>
      </w:r>
    </w:p>
    <w:p>
      <w:pPr>
        <w:spacing w:after="0" w:line="215"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We issued shares related to the first installment of this grant as follows: 58,769 net shares of common stock were issued in early July 2014 after employees surrendered 17,231 shares for which we paid $113,000 of withholding taxes on their behalf.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 w:name="page9"/>
    <w:bookmarkEnd w:id="8"/>
    <w:p>
      <w:pPr>
        <w:jc w:val="both"/>
        <w:ind w:left="500"/>
        <w:spacing w:after="0" w:line="255" w:lineRule="auto"/>
        <w:rPr>
          <w:sz w:val="20"/>
          <w:szCs w:val="20"/>
          <w:color w:val="auto"/>
        </w:rPr>
      </w:pPr>
      <w:r>
        <w:rPr>
          <w:rFonts w:ascii="Arial" w:cs="Arial" w:eastAsia="Arial" w:hAnsi="Arial"/>
          <w:sz w:val="18"/>
          <w:szCs w:val="18"/>
          <w:i w:val="1"/>
          <w:iCs w:val="1"/>
          <w:color w:val="auto"/>
        </w:rPr>
        <w:t>2013 Grant</w:t>
      </w:r>
      <w:r>
        <w:rPr>
          <w:rFonts w:ascii="Arial" w:cs="Arial" w:eastAsia="Arial" w:hAnsi="Arial"/>
          <w:sz w:val="18"/>
          <w:szCs w:val="18"/>
          <w:color w:val="auto"/>
        </w:rPr>
        <w:t>. In April 2013, we granted 130,000 shares of unrestricted stock to directors, officers and employees. The shares were issued in two equal</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shortly after June 30, 2013 and December 31, 2013. We expensed the entire $623,000 stock-based compensation expense related to this grant in the second, third and fourth quarters of 2013. We issued shares of common stock related to this grant as follows: i) 51,374 net shares of common stock were issued in early July 2013 after employees surrendered 13,626 shares for which we paid $71,000 of withholding taxes on their behalf; and ii) 49,936 net shares of common stock were issued in early January 2014 after employees surrendered 15,064 shares for which we paid $92,000 of withholding taxes on their behalf.</w:t>
      </w:r>
    </w:p>
    <w:p>
      <w:pPr>
        <w:spacing w:after="0" w:line="22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 We organize ourselves into a single segment that reports to the chief operating decision makers.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for the three and nine months ended September 30, 2014 and 2013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8"/>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418"/>
        </w:trPr>
        <w:tc>
          <w:tcPr>
            <w:tcW w:w="482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4,154</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2,529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14,945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9,323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Saudi Arabia</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613</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4,349</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3,784</w:t>
            </w:r>
          </w:p>
        </w:tc>
      </w:tr>
      <w:tr>
        <w:trPr>
          <w:trHeight w:val="216"/>
        </w:trPr>
        <w:tc>
          <w:tcPr>
            <w:tcW w:w="48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19,411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13,720</w:t>
            </w:r>
          </w:p>
        </w:tc>
      </w:tr>
      <w:tr>
        <w:trPr>
          <w:trHeight w:val="21"/>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product group for the three and nine months ended September 30, 2014 and 2013 was (in thousands):</w:t>
      </w:r>
    </w:p>
    <w:p>
      <w:pPr>
        <w:spacing w:after="0" w:line="248"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8"/>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418"/>
        </w:trPr>
        <w:tc>
          <w:tcPr>
            <w:tcW w:w="4720" w:type="dxa"/>
            <w:vAlign w:val="bottom"/>
          </w:tcPr>
          <w:p>
            <w:pPr>
              <w:spacing w:after="0"/>
              <w:rPr>
                <w:sz w:val="20"/>
                <w:szCs w:val="20"/>
                <w:color w:val="auto"/>
              </w:rPr>
            </w:pPr>
            <w:r>
              <w:rPr>
                <w:rFonts w:ascii="Arial" w:cs="Arial" w:eastAsia="Arial" w:hAnsi="Arial"/>
                <w:sz w:val="18"/>
                <w:szCs w:val="18"/>
                <w:color w:val="auto"/>
              </w:rPr>
              <w:t>Biometrics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5,510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3,803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17,720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11,997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Imaging</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986</w:t>
            </w: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DSL royalties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w:t>
            </w:r>
          </w:p>
        </w:tc>
      </w:tr>
      <w:tr>
        <w:trPr>
          <w:trHeight w:val="216"/>
        </w:trPr>
        <w:tc>
          <w:tcPr>
            <w:tcW w:w="47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19,411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13,720</w:t>
            </w:r>
          </w:p>
        </w:tc>
      </w:tr>
      <w:tr>
        <w:trPr>
          <w:trHeight w:val="21"/>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89"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In May 2014, the FASB issued ASU 2014-09, Revenue from Contracts with Customers (Topic 606). The ASU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result of a joint project by the FASB and the International Accounting Standards Board (“IASB”) to clarify the principles for recognizing revenue and to develop a common revenue standard for GAAP and International Financial Reporting Standards (“IFRS”) that would: remove inconsistencies and weaknesses, provide a more robust framework for addressing revenue issues, improve comparability of revenue recognition practices across entities, jurisdictions, industries, and capital markets, improve disclosure requirements and resulting financial statements, and simplify the presentation of financial statements.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ASU is effective for annual reporting periods beginning after December 15, 2016. Early adoption is not permitted. We are currently evaluating the effect that the updated standard will have on our consolidated financial statements and related disclosures.</w:t>
      </w:r>
    </w:p>
    <w:p>
      <w:pPr>
        <w:spacing w:after="0" w:line="193" w:lineRule="exact"/>
        <w:rPr>
          <w:rFonts w:ascii="Arial" w:cs="Arial" w:eastAsia="Arial" w:hAnsi="Arial"/>
          <w:sz w:val="16"/>
          <w:szCs w:val="16"/>
          <w:color w:val="auto"/>
        </w:rPr>
      </w:pPr>
    </w:p>
    <w:p>
      <w:pPr>
        <w:ind w:left="340" w:right="20"/>
        <w:spacing w:after="0" w:line="277" w:lineRule="auto"/>
        <w:rPr>
          <w:rFonts w:ascii="Arial" w:cs="Arial" w:eastAsia="Arial" w:hAnsi="Arial"/>
          <w:sz w:val="16"/>
          <w:szCs w:val="16"/>
          <w:color w:val="auto"/>
        </w:rPr>
      </w:pPr>
      <w:r>
        <w:rPr>
          <w:rFonts w:ascii="Arial" w:cs="Arial" w:eastAsia="Arial" w:hAnsi="Arial"/>
          <w:sz w:val="18"/>
          <w:szCs w:val="18"/>
          <w:color w:val="auto"/>
        </w:rPr>
        <w:t>With the exception of the new revenue standard discussed above, there have been no other recently issued accounting pronouncements that are of significance or potential significance to us that we have not adopted as of September 30,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9" w:name="page10"/>
    <w:bookmarkEnd w:id="9"/>
    <w:p>
      <w:pPr>
        <w:jc w:val="both"/>
        <w:ind w:left="340" w:hanging="332"/>
        <w:spacing w:after="0" w:line="289"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tax expense was $1.6 million and $0.4 million for the three months ended September 30, 2014 and 2013, respectively.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expense was $2.6 million and $1.6 million for the nine months ended September 30, 2014 and 2013, respectively. Income tax expense in the three and nine month periods of 2014 and 2013 was based on the U.S. statutory rate of 34%, increased by state income taxes.</w:t>
      </w:r>
    </w:p>
    <w:p>
      <w:pPr>
        <w:spacing w:after="0" w:line="189" w:lineRule="exact"/>
        <w:rPr>
          <w:rFonts w:ascii="Arial" w:cs="Arial" w:eastAsia="Arial" w:hAnsi="Arial"/>
          <w:sz w:val="17"/>
          <w:szCs w:val="17"/>
          <w:color w:val="auto"/>
        </w:rPr>
      </w:pPr>
    </w:p>
    <w:p>
      <w:pPr>
        <w:jc w:val="both"/>
        <w:ind w:left="340"/>
        <w:spacing w:after="0" w:line="257" w:lineRule="auto"/>
        <w:rPr>
          <w:rFonts w:ascii="Arial" w:cs="Arial" w:eastAsia="Arial" w:hAnsi="Arial"/>
          <w:sz w:val="17"/>
          <w:szCs w:val="17"/>
          <w:color w:val="auto"/>
        </w:rPr>
      </w:pPr>
      <w:r>
        <w:rPr>
          <w:rFonts w:ascii="Arial" w:cs="Arial" w:eastAsia="Arial" w:hAnsi="Arial"/>
          <w:sz w:val="18"/>
          <w:szCs w:val="18"/>
          <w:color w:val="auto"/>
        </w:rPr>
        <w:t>In the nine month period ended September 30, 2014,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$1.5 million in the nine month period ended September 30, 2014. These tax benefits were recorded as an equity adjustment to additional paid-in capital.</w:t>
      </w:r>
    </w:p>
    <w:p>
      <w:pPr>
        <w:spacing w:after="0" w:line="215"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As of September 30, 2014, we had a total of $0.9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rFonts w:ascii="Arial" w:cs="Arial" w:eastAsia="Arial" w:hAnsi="Arial"/>
          <w:sz w:val="17"/>
          <w:szCs w:val="17"/>
          <w:color w:val="auto"/>
        </w:rPr>
      </w:pPr>
    </w:p>
    <w:p>
      <w:pPr>
        <w:jc w:val="both"/>
        <w:ind w:left="340"/>
        <w:spacing w:after="0" w:line="255" w:lineRule="auto"/>
        <w:rPr>
          <w:rFonts w:ascii="Arial" w:cs="Arial" w:eastAsia="Arial" w:hAnsi="Arial"/>
          <w:sz w:val="17"/>
          <w:szCs w:val="17"/>
          <w:color w:val="auto"/>
        </w:rPr>
      </w:pPr>
      <w:r>
        <w:rPr>
          <w:rFonts w:ascii="Arial" w:cs="Arial" w:eastAsia="Arial" w:hAnsi="Arial"/>
          <w:sz w:val="18"/>
          <w:szCs w:val="18"/>
          <w:color w:val="auto"/>
        </w:rPr>
        <w:t>In addition to deferred tax assets carried on our balance sheet, we also had net federal and state research and development credit carryforwards available at December 31, 2013 of $4.9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$1.5 equity adjustment to additional paid-in capital in the nine month period ended September 30, 2014 was related to these deferred tax assets.</w:t>
      </w:r>
    </w:p>
    <w:p>
      <w:pPr>
        <w:spacing w:after="0" w:line="220"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In the third quarter of 2014, the Internal Revenue Service commenced an examination of our tax return for the year ended December 31, 2012.</w:t>
      </w:r>
    </w:p>
    <w:p>
      <w:pPr>
        <w:spacing w:after="0" w:line="263"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In 2013, we shut down our DSL service assurance software product line, which was previously a component of our DSL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Assurance Segment. We completed the shutdown in the fourth quarter of 2013 and no longer have any significant continuing involvement with, or cash flows from, this product line. The results of our DSL service assurance software product line have been included in discontinued operations in the consolidated statements of income and comprehensive income. The loss from discontinued operations attributable to the DSL service assurance software product line was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620" w:type="dxa"/>
            <w:vAlign w:val="bottom"/>
          </w:tcPr>
          <w:p>
            <w:pPr>
              <w:spacing w:after="0"/>
              <w:rPr>
                <w:sz w:val="20"/>
                <w:szCs w:val="20"/>
                <w:color w:val="auto"/>
              </w:rPr>
            </w:pPr>
          </w:p>
        </w:tc>
        <w:tc>
          <w:tcPr>
            <w:tcW w:w="24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20" w:type="dxa"/>
            <w:vAlign w:val="bottom"/>
          </w:tcPr>
          <w:p>
            <w:pPr>
              <w:spacing w:after="0"/>
              <w:rPr>
                <w:sz w:val="19"/>
                <w:szCs w:val="19"/>
                <w:color w:val="auto"/>
              </w:rPr>
            </w:pP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Revenue</w:t>
            </w:r>
          </w:p>
        </w:tc>
        <w:tc>
          <w:tcPr>
            <w:tcW w:w="880" w:type="dxa"/>
            <w:vAlign w:val="bottom"/>
          </w:tcPr>
          <w:p>
            <w:pPr>
              <w:jc w:val="right"/>
              <w:ind w:right="71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Expenses</w:t>
            </w: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4,866</w:t>
            </w:r>
          </w:p>
        </w:tc>
      </w:tr>
      <w:tr>
        <w:trPr>
          <w:trHeight w:val="202"/>
        </w:trPr>
        <w:tc>
          <w:tcPr>
            <w:tcW w:w="5620" w:type="dxa"/>
            <w:vAlign w:val="bottom"/>
          </w:tcPr>
          <w:p>
            <w:pPr>
              <w:ind w:left="160"/>
              <w:spacing w:after="0" w:line="201" w:lineRule="exact"/>
              <w:rPr>
                <w:sz w:val="20"/>
                <w:szCs w:val="20"/>
                <w:color w:val="auto"/>
              </w:rPr>
            </w:pPr>
            <w:r>
              <w:rPr>
                <w:rFonts w:ascii="Arial" w:cs="Arial" w:eastAsia="Arial" w:hAnsi="Arial"/>
                <w:sz w:val="18"/>
                <w:szCs w:val="18"/>
                <w:color w:val="auto"/>
              </w:rPr>
              <w:t>Loss before income taxes</w:t>
            </w:r>
          </w:p>
        </w:tc>
        <w:tc>
          <w:tcPr>
            <w:tcW w:w="880" w:type="dxa"/>
            <w:vAlign w:val="bottom"/>
          </w:tcPr>
          <w:p>
            <w:pPr>
              <w:spacing w:after="0"/>
              <w:rPr>
                <w:sz w:val="17"/>
                <w:szCs w:val="17"/>
                <w:color w:val="auto"/>
              </w:rPr>
            </w:pP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(3,199)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(3,649)</w:t>
            </w: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Income tax benefit</w:t>
            </w: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w:t>
            </w:r>
          </w:p>
        </w:tc>
      </w:tr>
      <w:tr>
        <w:trPr>
          <w:trHeight w:val="216"/>
        </w:trPr>
        <w:tc>
          <w:tcPr>
            <w:tcW w:w="562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880" w:type="dxa"/>
            <w:vAlign w:val="bottom"/>
            <w:tcBorders>
              <w:bottom w:val="single" w:sz="8" w:color="auto"/>
            </w:tcBorders>
          </w:tcPr>
          <w:p>
            <w:pPr>
              <w:jc w:val="right"/>
              <w:ind w:right="71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r>
      <w:tr>
        <w:trPr>
          <w:trHeight w:val="21"/>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consolidated statements of income and comprehensive income for the three and nine months ended September 30, 2013 have been reclassified to reflect the effect of discontinued operations as set forth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 w:name="page11"/>
    <w:bookmarkEnd w:id="10"/>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Equity</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Accumulated Deficit. </w:t>
      </w:r>
      <w:r>
        <w:rPr>
          <w:rFonts w:ascii="Arial" w:cs="Arial" w:eastAsia="Arial" w:hAnsi="Arial"/>
          <w:sz w:val="18"/>
          <w:szCs w:val="18"/>
          <w:color w:val="auto"/>
        </w:rPr>
        <w:t>The changes in accumulated deficit for the nine months ended September 30, 2014 were as follows (in thousands):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Balance as of December 31, 2013</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w w:val="74"/>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16,244)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4,344</w:t>
            </w:r>
          </w:p>
        </w:tc>
      </w:tr>
      <w:tr>
        <w:trPr>
          <w:trHeight w:val="264"/>
        </w:trPr>
        <w:tc>
          <w:tcPr>
            <w:tcW w:w="4140" w:type="dxa"/>
            <w:vAlign w:val="bottom"/>
          </w:tcPr>
          <w:p>
            <w:pPr>
              <w:spacing w:after="0"/>
              <w:rPr>
                <w:sz w:val="20"/>
                <w:szCs w:val="20"/>
                <w:color w:val="auto"/>
              </w:rPr>
            </w:pPr>
            <w:r>
              <w:rPr>
                <w:rFonts w:ascii="Arial" w:cs="Arial" w:eastAsia="Arial" w:hAnsi="Arial"/>
                <w:sz w:val="18"/>
                <w:szCs w:val="18"/>
                <w:color w:val="auto"/>
              </w:rPr>
              <w:t>Dividends paid</w:t>
            </w: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Balance as of September 30, 2014</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51,805)</w:t>
            </w:r>
          </w:p>
        </w:tc>
      </w:tr>
      <w:tr>
        <w:trPr>
          <w:trHeight w:val="21"/>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On June 26, 2014, our board of directors declared a special cash dividend of $1.75 per share. The dividend was paid on July 24, 2014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of record as of July 10, 2014. The total dividend payment was $39.9 million.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Accumulated Other Comprehensive Loss. </w:t>
      </w:r>
      <w:r>
        <w:rPr>
          <w:rFonts w:ascii="Arial" w:cs="Arial" w:eastAsia="Arial" w:hAnsi="Arial"/>
          <w:sz w:val="16"/>
          <w:szCs w:val="16"/>
          <w:color w:val="auto"/>
        </w:rPr>
        <w:t>The components of accumulated other comprehensive loss and activity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w w:val="93"/>
              </w:rPr>
              <w:t>December 31,</w:t>
            </w:r>
          </w:p>
        </w:tc>
        <w:tc>
          <w:tcPr>
            <w:tcW w:w="2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w w:val="97"/>
              </w:rPr>
              <w:t>Increase/</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w w:val="97"/>
              </w:rPr>
              <w:t>Reclassification</w:t>
            </w:r>
          </w:p>
        </w:tc>
        <w:tc>
          <w:tcPr>
            <w:tcW w:w="400" w:type="dxa"/>
            <w:vAlign w:val="bottom"/>
          </w:tcPr>
          <w:p>
            <w:pPr>
              <w:spacing w:after="0"/>
              <w:rPr>
                <w:sz w:val="18"/>
                <w:szCs w:val="18"/>
                <w:color w:val="auto"/>
              </w:rPr>
            </w:pPr>
          </w:p>
        </w:tc>
        <w:tc>
          <w:tcPr>
            <w:tcW w:w="1520" w:type="dxa"/>
            <w:vAlign w:val="bottom"/>
            <w:gridSpan w:val="3"/>
          </w:tcPr>
          <w:p>
            <w:pPr>
              <w:ind w:left="280"/>
              <w:spacing w:after="0"/>
              <w:rPr>
                <w:sz w:val="20"/>
                <w:szCs w:val="20"/>
                <w:color w:val="auto"/>
              </w:rPr>
            </w:pPr>
            <w:r>
              <w:rPr>
                <w:rFonts w:ascii="Arial" w:cs="Arial" w:eastAsia="Arial" w:hAnsi="Arial"/>
                <w:sz w:val="18"/>
                <w:szCs w:val="18"/>
                <w:color w:val="auto"/>
              </w:rPr>
              <w:t>September 30,</w:t>
            </w:r>
          </w:p>
        </w:tc>
      </w:tr>
      <w:tr>
        <w:trPr>
          <w:trHeight w:val="237"/>
        </w:trPr>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0"/>
              </w:rPr>
              <w:t>Decrease</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Adjustments</w:t>
            </w: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r>
      <w:tr>
        <w:trPr>
          <w:trHeight w:val="418"/>
        </w:trPr>
        <w:tc>
          <w:tcPr>
            <w:tcW w:w="5500" w:type="dxa"/>
            <w:vAlign w:val="bottom"/>
          </w:tcPr>
          <w:p>
            <w:pPr>
              <w:spacing w:after="0"/>
              <w:rPr>
                <w:sz w:val="20"/>
                <w:szCs w:val="20"/>
                <w:color w:val="auto"/>
              </w:rPr>
            </w:pPr>
            <w:r>
              <w:rPr>
                <w:rFonts w:ascii="Arial" w:cs="Arial" w:eastAsia="Arial" w:hAnsi="Arial"/>
                <w:sz w:val="18"/>
                <w:szCs w:val="18"/>
                <w:color w:val="auto"/>
              </w:rPr>
              <w:t>Unrealized losses on available for sale securities</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w w:val="87"/>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4"/>
                <w:szCs w:val="24"/>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4"/>
                <w:szCs w:val="24"/>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Unrealized gains on available for sale securities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r>
      <w:tr>
        <w:trPr>
          <w:trHeight w:val="202"/>
        </w:trPr>
        <w:tc>
          <w:tcPr>
            <w:tcW w:w="5500" w:type="dxa"/>
            <w:vAlign w:val="bottom"/>
          </w:tcPr>
          <w:p>
            <w:pPr>
              <w:ind w:left="180"/>
              <w:spacing w:after="0" w:line="201" w:lineRule="exact"/>
              <w:rPr>
                <w:sz w:val="20"/>
                <w:szCs w:val="20"/>
                <w:color w:val="auto"/>
              </w:rPr>
            </w:pPr>
            <w:r>
              <w:rPr>
                <w:rFonts w:ascii="Arial" w:cs="Arial" w:eastAsia="Arial" w:hAnsi="Arial"/>
                <w:sz w:val="18"/>
                <w:szCs w:val="18"/>
                <w:color w:val="auto"/>
              </w:rPr>
              <w:t>Net unrealized gains (losses) on available for sale securities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(206)</w:t>
            </w:r>
          </w:p>
        </w:tc>
        <w:tc>
          <w:tcPr>
            <w:tcW w:w="240" w:type="dxa"/>
            <w:vAlign w:val="bottom"/>
          </w:tcPr>
          <w:p>
            <w:pPr>
              <w:spacing w:after="0"/>
              <w:rPr>
                <w:sz w:val="17"/>
                <w:szCs w:val="17"/>
                <w:color w:val="auto"/>
              </w:rPr>
            </w:pPr>
          </w:p>
        </w:tc>
        <w:tc>
          <w:tcPr>
            <w:tcW w:w="11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39</w:t>
            </w:r>
          </w:p>
        </w:tc>
        <w:tc>
          <w:tcPr>
            <w:tcW w:w="180" w:type="dxa"/>
            <w:vAlign w:val="bottom"/>
          </w:tcPr>
          <w:p>
            <w:pPr>
              <w:spacing w:after="0"/>
              <w:rPr>
                <w:sz w:val="17"/>
                <w:szCs w:val="17"/>
                <w:color w:val="auto"/>
              </w:rPr>
            </w:pPr>
          </w:p>
        </w:tc>
        <w:tc>
          <w:tcPr>
            <w:tcW w:w="11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59</w:t>
            </w:r>
          </w:p>
        </w:tc>
        <w:tc>
          <w:tcPr>
            <w:tcW w:w="400" w:type="dxa"/>
            <w:vAlign w:val="bottom"/>
          </w:tcPr>
          <w:p>
            <w:pPr>
              <w:ind w:left="20"/>
              <w:spacing w:after="0" w:line="201" w:lineRule="exact"/>
              <w:rPr>
                <w:sz w:val="20"/>
                <w:szCs w:val="20"/>
                <w:color w:val="auto"/>
              </w:rPr>
            </w:pPr>
            <w:r>
              <w:rPr>
                <w:rFonts w:ascii="Arial" w:cs="Arial" w:eastAsia="Arial" w:hAnsi="Arial"/>
                <w:sz w:val="18"/>
                <w:szCs w:val="18"/>
                <w:color w:val="auto"/>
              </w:rPr>
              <w:t>(a)</w:t>
            </w:r>
          </w:p>
        </w:tc>
        <w:tc>
          <w:tcPr>
            <w:tcW w:w="4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7"/>
                <w:szCs w:val="17"/>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Income tax benefit (expense) on other comprehensive loss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Total accumulated other comprehensive loss, net of taxes</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r>
      <w:tr>
        <w:trPr>
          <w:trHeight w:val="21"/>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300" w:hanging="285"/>
        <w:spacing w:after="0"/>
        <w:tabs>
          <w:tab w:leader="none" w:pos="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Classified in other expense.</w:t>
      </w:r>
    </w:p>
    <w:p>
      <w:pPr>
        <w:spacing w:after="0" w:line="248"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Patent related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 related income in 2014 and 2013 consists of the following:</w:t>
      </w:r>
    </w:p>
    <w:p>
      <w:pPr>
        <w:spacing w:after="0" w:line="256"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b w:val="1"/>
          <w:bCs w:val="1"/>
          <w:i w:val="1"/>
          <w:iCs w:val="1"/>
          <w:color w:val="auto"/>
        </w:rPr>
        <w:t>Three and nine months ended September 30, 2014</w:t>
      </w:r>
      <w:r>
        <w:rPr>
          <w:rFonts w:ascii="Arial" w:cs="Arial" w:eastAsia="Arial" w:hAnsi="Arial"/>
          <w:sz w:val="18"/>
          <w:szCs w:val="18"/>
          <w:color w:val="auto"/>
        </w:rPr>
        <w:t>. On July 21, 2014, we entered into an agreement to sell a portion of our patent portfolio pertaining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DSL diagnostic technology for $2.6 million to an unrelated third party. The proceeds from the sale were reduced by $0.5 million of transaction costs, which consisted primarily of fees from the law firm that assisted us in the sale. The transaction closed on August 1, 2014 and a gain of $2.1 million was included in our financial results for the three and nine months ended September 30, 2014.</w:t>
      </w:r>
    </w:p>
    <w:p>
      <w:pPr>
        <w:spacing w:after="0" w:line="213"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The DSL diagnostic technology in the patents we sold in August 2014 was related to our DSL Service Assurance business that we shut down in 2012 and 2013 and reported in discontinued operations in those periods. We do not consider our patent related activities to be a component of the operating business from which the underlying technology was derived, but rather as a component of corporate general and administrative expenses. Accordingly the gain on the sale of these patents was reported in income from continuing operations pursuant to ASC 360, Impairment or Disposal of Long-Lived Assets, and Rule 5-03 of Regulation S-X.</w:t>
      </w:r>
    </w:p>
    <w:p>
      <w:pPr>
        <w:spacing w:after="0" w:line="215"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b w:val="1"/>
          <w:bCs w:val="1"/>
          <w:i w:val="1"/>
          <w:iCs w:val="1"/>
          <w:color w:val="auto"/>
        </w:rPr>
        <w:t>Nine months ended September 30, 2013</w:t>
      </w:r>
      <w:r>
        <w:rPr>
          <w:rFonts w:ascii="Arial" w:cs="Arial" w:eastAsia="Arial" w:hAnsi="Arial"/>
          <w:sz w:val="18"/>
          <w:szCs w:val="18"/>
          <w:color w:val="auto"/>
        </w:rPr>
        <w:t>. In the nine months ended September 30, 2013, we recorded $0.8 million of income from a patent arrangement.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entered into an arrangement with an unaffiliated third party in 2010 under which we assigned certain patents in return for royalties on proceeds from patent monetization efforts by the third party. Such third party has engaged in various patent monetization activities, including enforcement, litigation and licensing.</w:t>
      </w:r>
    </w:p>
    <w:p>
      <w:pPr>
        <w:spacing w:after="0" w:line="213" w:lineRule="exact"/>
        <w:rPr>
          <w:rFonts w:ascii="Arial" w:cs="Arial" w:eastAsia="Arial" w:hAnsi="Arial"/>
          <w:sz w:val="18"/>
          <w:szCs w:val="18"/>
          <w:color w:val="auto"/>
        </w:rPr>
      </w:pPr>
    </w:p>
    <w:p>
      <w:pPr>
        <w:ind w:left="340"/>
        <w:spacing w:after="0" w:line="258" w:lineRule="auto"/>
        <w:rPr>
          <w:rFonts w:ascii="Arial" w:cs="Arial" w:eastAsia="Arial" w:hAnsi="Arial"/>
          <w:sz w:val="18"/>
          <w:szCs w:val="18"/>
          <w:color w:val="auto"/>
        </w:rPr>
      </w:pPr>
      <w:r>
        <w:rPr>
          <w:rFonts w:ascii="Arial" w:cs="Arial" w:eastAsia="Arial" w:hAnsi="Arial"/>
          <w:sz w:val="18"/>
          <w:szCs w:val="18"/>
          <w:color w:val="auto"/>
        </w:rPr>
        <w:t>We continue to have a contractual relationship with this third party. However, we are unable to predict how much more income we might receive from this arrangement, if any, because:</w:t>
      </w:r>
    </w:p>
    <w:p>
      <w:pPr>
        <w:spacing w:after="0" w:line="1" w:lineRule="exact"/>
        <w:rPr>
          <w:rFonts w:ascii="Arial" w:cs="Arial" w:eastAsia="Arial" w:hAnsi="Arial"/>
          <w:sz w:val="18"/>
          <w:szCs w:val="18"/>
          <w:color w:val="auto"/>
        </w:rPr>
      </w:pPr>
    </w:p>
    <w:p>
      <w:pPr>
        <w:jc w:val="both"/>
        <w:ind w:left="980" w:hanging="199"/>
        <w:spacing w:after="0" w:line="250" w:lineRule="auto"/>
        <w:tabs>
          <w:tab w:leader="none" w:pos="9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claims in one of the patents we assigned were rejected by the United States Patent Office (“USPTO”) in May 2013. The USPTO’s Patent Trial &amp; Appeal Board (“PTAB”) affirmed the USPTO decision in June 2014. The PTAB decision is currently under appeal to the Federal Circuit, and</w:t>
      </w:r>
    </w:p>
    <w:p>
      <w:pPr>
        <w:spacing w:after="0" w:line="1" w:lineRule="exact"/>
        <w:rPr>
          <w:rFonts w:ascii="Arial" w:cs="Arial" w:eastAsia="Arial" w:hAnsi="Arial"/>
          <w:sz w:val="18"/>
          <w:szCs w:val="18"/>
          <w:color w:val="auto"/>
        </w:rPr>
      </w:pPr>
    </w:p>
    <w:p>
      <w:pPr>
        <w:ind w:left="980" w:hanging="249"/>
        <w:spacing w:after="0" w:line="261" w:lineRule="auto"/>
        <w:tabs>
          <w:tab w:leader="none" w:pos="9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Notwithstanding the outcome in the Federal Circuit, we do not know whether any patent monetization efforts by the third party will be successful.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2013,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Continuing Operations. </w:t>
      </w:r>
      <w:r>
        <w:rPr>
          <w:rFonts w:ascii="Arial" w:cs="Arial" w:eastAsia="Arial" w:hAnsi="Arial"/>
          <w:sz w:val="18"/>
          <w:szCs w:val="18"/>
          <w:color w:val="auto"/>
        </w:rPr>
        <w:t>We are primarily engaged in the development and sale of biometrics products and services. Our biometrics products are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and commercial biometrics systems, which are capable of determining or verifying an individual’s identity. The principal applications of biometrics systems include border control, law enforcement, national defense, secure credentialing, access control and background checks. We sell our software and services to systems integrators and OEMs, as well as directly to government customers. We also derive a minor portion of our revenue from the sale of imaging software to OEMs that incorporate that software into medical imaging products.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 2013, we shut down our DSL service assurance software product line, which was previously a component of our DSL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Segment. The results of the DSL Service Assurance Segment have been reported as discontinued operations as we no longer have any significant continuing involvement with, or cash flows from, this segment.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from continuing operations for the three months ended September 30, 2014 was $2.6 million, or $0.11 per diluted share, which compares to net income from continuing operations of $0.8 million, or $0.04 per diluted share, for the three months ended September 30, 2013. Higher net income from continuing operations in the current three month period was primarily due to: i) a $1.0 million increase in operating income from our biometrics business operations; and ii) a $2.1 million increase in patent related income. The $1.0 million increase in operating income from biometrics was driven by higher software license and service revenue, which was partially offset by higher operating expenses.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from continuing operations for the nine months ended September 30, 2014 was $4.3 million, or $0.19 per diluted share, which compares to net income from continuing operations of $3.2 million, or $0.14 per diluted share, for the nine months ended September 30, 2013. Higher net income from continuing operations in the current nine month period was primarily due to: i) a $0.9 million increase in operating income from our biometrics business operations; and ii) a $1.3 million increase in patent related income. The $0.9 million increase in operating income from biometrics was driven by higher hardware and service revenue, which was partially offset by higher operating expenses.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Software licenses. </w:t>
      </w:r>
      <w:r>
        <w:rPr>
          <w:rFonts w:ascii="Arial" w:cs="Arial" w:eastAsia="Arial" w:hAnsi="Arial"/>
          <w:sz w:val="16"/>
          <w:szCs w:val="16"/>
          <w:color w:val="auto"/>
        </w:rPr>
        <w:t>Software licenses consist of revenue from the sale of biometrics and imaging software products. Sales of software products depend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win proposals to supply software for biometrics systems projects either directly to government customers or indirectly through channel partners.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license revenue increased 36% from $2.3 million in the three months ended September 30, 2013 to $3.1 million in the same three month period in 2014. As a percentage of total revenue, software license revenue decreased from 53% in the third quarter of 2013 to 51% in the current year quarter. The dollar increase in software license revenue was primarily due to a large sale to a U.S. government agency. We also began to derive revenue from some of our new products this quarter.</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Software license revenue decreased 1% from $6.9 million in the nine months ended September 30, 2013 to $6.8 million in the same nine month period in 2014. As a percentage of total revenue, software license revenue decreased from 50% in the first nine months of 2013 to 35% in the corresponding period of</w:t>
      </w:r>
    </w:p>
    <w:p>
      <w:pPr>
        <w:jc w:val="both"/>
        <w:spacing w:after="0" w:line="255" w:lineRule="auto"/>
        <w:rPr>
          <w:sz w:val="20"/>
          <w:szCs w:val="20"/>
          <w:color w:val="auto"/>
        </w:rPr>
      </w:pPr>
      <w:r>
        <w:rPr>
          <w:rFonts w:ascii="Arial" w:cs="Arial" w:eastAsia="Arial" w:hAnsi="Arial"/>
          <w:sz w:val="18"/>
          <w:szCs w:val="18"/>
          <w:color w:val="auto"/>
        </w:rPr>
        <w:t>2014. The slight dollar decrease in software license revenue was primarily due to a large license sale to a U.S. government agency in the first quarter of 2013, which was mostly offset by a large license sale to a U.S. government agency in the third quarter of 2014 as well as higher revenue from other 2014 biometrics projects.</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Software maintenance</w:t>
      </w:r>
      <w:r>
        <w:rPr>
          <w:rFonts w:ascii="Arial" w:cs="Arial" w:eastAsia="Arial" w:hAnsi="Arial"/>
          <w:sz w:val="17"/>
          <w:szCs w:val="17"/>
          <w:color w:val="auto"/>
        </w:rPr>
        <w:t>. Software maintenance consists of revenue from the sale of software maintenance contracts. Software maintenance contracts entitle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to receive software support and software updates, if and when they become available, during the term of the contract.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Software maintenance revenue increased 16% from $0.9 million in the three months ended September 30, 2013 to $1.1 million in the same three month period in 2014. As a percentage of total revenue, software maintenance revenue decreased from 22% in the third quarter of 2013 to 18% in the current year quarter.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Software maintenance revenue increased 13% from $2.9 million in the nine months ended September 30, 2013 to $3.3 million in the same nine month period in 2014. As a percentage of total revenue, software maintenance revenue decreased from 21% in the first nine months of 2013 to 17% in the corresponding period of 2014.</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 periods ended September 30, 2014, the dollar increase in software maintenance revenue was primarily due to a base of maintenance revenue from contract renewals from prior periods that grows as we sell maintenance contracts with new licenses in current periods.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Services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consist of fees we charge to perform software development, integration, installation, and customization services. Similar to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 revenue, services revenue depends on our ability to win biometrics systems projects either directly with government customers or in conjunction with channel partners. Services revenue will fluctuate when we commence new projects and/or when we complete projects that were started in previous periods.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increased 68% from $0.9 million in the three months ended September 30, 2013 to $1.6 million in the same three month period in 2014. As a percentage of total revenue, services increased from 22% in the third quarter of 2013 to 26%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increased 89% from $2.1 million in the nine months ended September 30, 2013 to $3.9 million in the same nine month period in 2014. As a percentage of total revenue, services increased from 15% in the first nine months of 2013 to 20% in the corresponding period of 2014.</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 periods ended September 30, 2014, the dollar increase in services was primarily due to a significant project with a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customer that commenced in the third quarter of 2013 and continued into the current quarter.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7"/>
          <w:szCs w:val="17"/>
          <w:b w:val="1"/>
          <w:bCs w:val="1"/>
          <w:i w:val="1"/>
          <w:iCs w:val="1"/>
          <w:color w:val="auto"/>
        </w:rPr>
        <w:t>Hardware sales</w:t>
      </w:r>
      <w:r>
        <w:rPr>
          <w:rFonts w:ascii="Arial" w:cs="Arial" w:eastAsia="Arial" w:hAnsi="Arial"/>
          <w:sz w:val="17"/>
          <w:szCs w:val="17"/>
          <w:color w:val="auto"/>
        </w:rPr>
        <w:t>. Hardware sales consist of sales of biometrics equipment to a single U.S. government customer for whom we developed biometrics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Hardware products sold to this customer integrate hardware purchased from third parties with software from other third parties as well as software from Aware. We evaluated the classification of gross versus net revenue recognition and determined gross recognition was appropriate.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Hardware sales increased from $0 in the three months ended September 30, 2013 to $0.1 million in the same three month period in 2014. As a percentage of total revenue, hardware sales increased from 0% in the third quarter of 2013 to 2% in the current year quarter.</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Hardware sales increased 326% from $1.1 million in the nine months ended September 30, 2013 to $4.8 million in the same nine month period in 2014. As a percentage of total revenue, hardware sales increased from 8% in the first nine months of 2013 to 25% in the corresponding period of 2014.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 periods ended September 30, 2014, the dollar increase in hardware sales was due to an increase in units ordered by our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hardware customer.</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future hardware sales with any degree of certainty because: i) our contract with the government provides pricing, but does not obligate it to purchase any products until it provides us with purchase orders; and ii) forecasting our customer’s demand is difficult.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primarily of royalty payments we receive under DSL silicon contracts with two customers that incorporate our silicon intellectual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(“IP”) in their DSL chipsets. We sold our DSL IP business in 2009, but we continue to receive royalty payments from these customers. Royalties are reported in continuing operations in accordance with ASC 205, Reporting Discontinued Operations, because we have continuing ongoing cash flows from this business.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Royalties decreased 13% from $170,000 in the three months ended September 30, 2013 to $148,000 in the same three month period in 2014. As a percentage of total revenue, royalties decreased from 4% in the third quarter of 2013 to 2%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15% from $737,000 in the nine months ended September 30, 2013 to $626,000 in the same nine month period in 2014. As a percentage of total revenue, royalties decreased from 5% in the first nine months of 2013 to 3% in the corresponding period of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believe it is likely that royalties will decline in future quarters.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Cost of hardware sales. </w:t>
      </w:r>
      <w:r>
        <w:rPr>
          <w:rFonts w:ascii="Arial" w:cs="Arial" w:eastAsia="Arial" w:hAnsi="Arial"/>
          <w:sz w:val="17"/>
          <w:szCs w:val="17"/>
          <w:color w:val="auto"/>
        </w:rPr>
        <w:t>Cost of hardware sales consists primarily of the cost of third party equipment and software included in hardware shipments.</w:t>
      </w:r>
    </w:p>
    <w:p>
      <w:pPr>
        <w:spacing w:after="0" w:line="2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hardware sales increased from $0 in the three months ended September 30, 2013 to $90,000 in the same three month period in 2014. Cost of hardware sales as a percentage of hardware sales was 68% in the current year quarter, which means that product gross margins were 32%.</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hardware sales increased 318% from $0.8 million in the nine months ended September 30, 2013 to $3.4 million in the same nine month period in 2014. Cost of hardware sales as a percentage of hardware sales decreased from 72% in the first nine months of 2013 to 71% in the corresponding period in 2014, which means that product gross margins increased from 28% to 29%.</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ended September 30, 2014, the dollar increase in cost of hardware sales was due to higher unit shipments of hardware products in the current year periods compared to the prior year periods.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perform customer services projects. Such costs primarily include: i) engineering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fringe benefits, and facilities; and ii) engineering consultants and contractors.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Cost of services increased 25% from $494,000 in the three months ended September 30, 2013 to $615,000 in the same three month period in 2014. Cost of services as a percentage of services decreased from 52% in the third quarter of 2013 to 39% in the current quarter, which means that gross margins on services increased from 48% to 61%.</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increased 64% from $1.0 million in the nine months ended September 30, 2013 to $1.7 million in the same nine month period in 2014. Cost of services as a percentage of services decreased from 50% in the first nine months of 2013 to 43% in the corresponding period in 2014, which means that gross margins on services increased from 50% to 57%.</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nine month periods ended September 30, 2014, the dollar increase in cost of services was attributable to an increase in services revenue. For the three month period ended September 30, 2014, services revenue increased 68% and related cost of services increased 25%. For the nine month period ended September 30, 2014, services revenue increased 89% and related cost of services increased 64%.</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of costs for: i) engineering personnel, including salaries,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ind w:left="30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6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ind w:left="500"/>
              <w:spacing w:after="0"/>
              <w:rPr>
                <w:sz w:val="20"/>
                <w:szCs w:val="20"/>
                <w:color w:val="auto"/>
              </w:rPr>
            </w:pPr>
            <w:r>
              <w:rPr>
                <w:rFonts w:ascii="Arial" w:cs="Arial" w:eastAsia="Arial" w:hAnsi="Arial"/>
                <w:sz w:val="18"/>
                <w:szCs w:val="18"/>
                <w:color w:val="auto"/>
              </w:rPr>
              <w:t>4,060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3,042</w:t>
            </w:r>
          </w:p>
        </w:tc>
      </w:tr>
      <w:tr>
        <w:trPr>
          <w:trHeight w:val="264"/>
        </w:trPr>
        <w:tc>
          <w:tcPr>
            <w:tcW w:w="608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1,035</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Total engineering costs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5,756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4,077</w:t>
            </w: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32% from $1.0 million in the three months ended September 30, 2013 to $1.4 million in the same three month period in 2014. As a percentage of total revenue, research and development expense decreased from 24% in the third quarter of 2013 to 23% in the corresponding period of 2014.</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33% from $3.0 million in the nine months ended September 30, 2013 to $4.1 million in the same nine month period in 2014. As a percentage of total revenue, research and development expense decreased from 22% in the first nine months of 2013 to 21% in the corresponding period of 2014.</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the table immediately above indicates, total engineering costs in the three and nine months periods ended September 30, 2014 increased by $0.5 million and $1.7 million compared to the corresponding three and nine month periods in 2013. The spending increase was primarily due to the hiring of engineering employees and contractors in the second half of 2013 and in the first half of 2014. Our engineering headcount, not including contractors, grew from 30 employees as of June 30, 2013 to 46 employees as of September 30, 2014. The expansion of our engineering organization was designed to provide the resources we required to: i) pursue new product development initiatives; and ii) staff customer engineering services projects.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described in the strategy section of our Form 10-K for the year ended December 31, 2013, we intend to introduce new products that will allow us to sell more software into biometrics systems projects in order to grow our revenue. Our preference is to develop such products internally, however to the extent we are unable to do that, we may purchase or license technologies from third parties. The engineering spending increase in the three and nine month periods ended September 30, 2014 is a reflection of that strategy. We anticipate that we will continue to focus our future research and development activities on enhancing our existing products and developing new products.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and marketing expense increased 19% from $0.8 million in the three months ended September 30, 2013 to $1.0 million in the same three month period of 2014. As a percentage of total revenue, sales and marketing expense decreased from 19% in the third quarter of 2013 to 16% in the corresponding period of 2014.</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and marketing expense increased 14% from $2.5 million in the nine months ended September 30, 2013 to $2.8 million in the same nine month period of 2014. As a percentage of total revenue, sales and marketing expense decreased from 18% in the first nine months of 2013 to 14% in the corresponding period of 2014.</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ended September 30, 2014, the dollar increase in selling and marketing expense was primarily due to higher sales commissions on higher revenue and the addition of one sales and marketing employee in early 2014.</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increased 2% from $922,000 in the three months ended September 30, 2013 to $940,000 in the same three month period in 2014. As a percentage of total revenue, general and administrative expense decreased from 21% in the third quarter of 2013 to 16% in the current year quarter. The increase in general and administrative expense in the third quarter of 2014 was primarily due to an increase in stock-based compensation which was partially offset by lower patent filing expenses.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increased 5% from $2.6 million in the nine months ended September 30, 2013 to $2.7 million in the same nine month period in 2014. As a percentage of total revenue, general and administrative expense decreased from 19% in the first nine months of 2013 to 14% in the corresponding period in 2014. The increase in general and administrative expense in the first nine months of 2014 was primarily due to an increase in stock-based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related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 related income in 2014 and 2013 consists of the following: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Three and nine months ended September 30, 2014</w:t>
      </w:r>
      <w:r>
        <w:rPr>
          <w:rFonts w:ascii="Arial" w:cs="Arial" w:eastAsia="Arial" w:hAnsi="Arial"/>
          <w:sz w:val="18"/>
          <w:szCs w:val="18"/>
          <w:color w:val="auto"/>
        </w:rPr>
        <w:t>. On July 21, 2014, we entered into an agreement to sell a portion of our patent portfolio pertaining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DSL diagnostic technology for $2.6 million to an unrelated third party. The proceeds from the sale were reduced by $0.5 million of transaction costs, which consisted primarily of fees from the law firm that assisted us in the sale. The transaction closed on August 1, 2014 and a gain of $2.1 million was included in our financial results for the three and nine months ended September 30, 2014.</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DSL diagnostic technology in the patents we sold in August 2014 was related to our DSL Service Assurance business that we shut down in 2012 and 2013 and reported in discontinued operations in those periods. We do not consider our patent related activities to be a component of the operating business from which the underlying technology was derived, but rather as a component of corporate general and administrative expenses. Accordingly the gain on the sale of these patents was reported in income from continuing operations pursuant to ASC 360, Impairment or Disposal of Long-Lived Assets, and Rule 5-03 of Regulation S-X.</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6" w:name="page17"/>
    <w:bookmarkEnd w:id="16"/>
    <w:p>
      <w:pPr>
        <w:jc w:val="both"/>
        <w:spacing w:after="0" w:line="312" w:lineRule="auto"/>
        <w:rPr>
          <w:sz w:val="20"/>
          <w:szCs w:val="20"/>
          <w:color w:val="auto"/>
        </w:rPr>
      </w:pPr>
      <w:r>
        <w:rPr>
          <w:rFonts w:ascii="Arial" w:cs="Arial" w:eastAsia="Arial" w:hAnsi="Arial"/>
          <w:sz w:val="16"/>
          <w:szCs w:val="16"/>
          <w:b w:val="1"/>
          <w:bCs w:val="1"/>
          <w:i w:val="1"/>
          <w:iCs w:val="1"/>
          <w:color w:val="auto"/>
        </w:rPr>
        <w:t>Nine months ended September 30, 2013</w:t>
      </w:r>
      <w:r>
        <w:rPr>
          <w:rFonts w:ascii="Arial" w:cs="Arial" w:eastAsia="Arial" w:hAnsi="Arial"/>
          <w:sz w:val="16"/>
          <w:szCs w:val="16"/>
          <w:color w:val="auto"/>
        </w:rPr>
        <w:t>. In the nine months ended September 30, 2013, we recorded $0.8 million of income from a patent arrangement.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entered into an arrangement with an unaffiliated third party in 2010 under which we assigned certain patents in return for royalties on proceeds from patent monetization efforts by the third party. Such third party has engaged in various patent monetization activities, including enforcement, litigation and licensing.</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continue to have a contractual relationship with this third party. However, we are unable to predict how much more income we might receive from this arrangement, if any, because:</w:t>
      </w:r>
    </w:p>
    <w:p>
      <w:pPr>
        <w:spacing w:after="0" w:line="1" w:lineRule="exact"/>
        <w:rPr>
          <w:sz w:val="20"/>
          <w:szCs w:val="20"/>
          <w:color w:val="auto"/>
        </w:rPr>
      </w:pPr>
    </w:p>
    <w:p>
      <w:pPr>
        <w:ind w:left="500" w:right="20" w:hanging="206"/>
        <w:spacing w:after="0" w:line="28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claims in one of the patents we assigned were rejected by the United States Patent Office (“USPTO”) in May 2013. The USPTO’s Patent Trial &amp; Appeal Board (“PTAB”) affirmed the USPTO decision in June 2014. The PTAB decision is currently under appeal to the Federal Circuit, and</w:t>
      </w:r>
    </w:p>
    <w:p>
      <w:pPr>
        <w:spacing w:after="0" w:line="1" w:lineRule="exact"/>
        <w:rPr>
          <w:rFonts w:ascii="Arial" w:cs="Arial" w:eastAsia="Arial" w:hAnsi="Arial"/>
          <w:sz w:val="16"/>
          <w:szCs w:val="16"/>
          <w:color w:val="auto"/>
        </w:rPr>
      </w:pPr>
    </w:p>
    <w:p>
      <w:pPr>
        <w:ind w:left="500" w:hanging="256"/>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the outcome in the Federal Circuit, we do not know whether any patent monetization efforts by the third party will be successful.</w:t>
      </w:r>
    </w:p>
    <w:p>
      <w:pPr>
        <w:spacing w:after="0" w:line="2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Other expense</w:t>
      </w:r>
      <w:r>
        <w:rPr>
          <w:rFonts w:ascii="Arial" w:cs="Arial" w:eastAsia="Arial" w:hAnsi="Arial"/>
          <w:sz w:val="18"/>
          <w:szCs w:val="18"/>
          <w:color w:val="auto"/>
        </w:rPr>
        <w:t>. We recorded $59,000 of other expense in the nine months ended September 30, 2014. This amount represented realized losses on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calls of high yield bond investments.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46% from $80,000 in three months ended September 30, 2013 to $43,000 in the same three month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decreased 24% from $239,000 in the nine months ended September 30, 2013 to $182,000 in the same nine month period in 2014.</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the dollar decrease in interest income was primarily due to two factors: i) lower levels of high yield bond investments in 2014 as compared to 2013; and ii) lower cash balances as a result of a $39.9 million dividend payment in July 2014.</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was $1.6 million and $0.4 million for the three months ended September 30, 2014 and 2013, respectively.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was $2.6 million and $1.6 million for the nine months ended September 30, 2014 and 2013, respectively. Income tax expense in the three and nine month periods of 2014 and 2013 was based on the U.S. statutory rate of 34%, increased by state income taxes.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nine month period ended September 30, 2014,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$1.5 million in the nine month period ended September 30, 2014. These tax benefits were recorded as an equity adjustment to additional paid-in capital.</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2014, we had a total of $0.9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2013 of $4.9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$1.5 equity adjustment to additional paid-in capital in the nine month period ended September 30, 2014 was related to these deferred tax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2014, the Internal Revenue Service commenced an examination of our tax return for the year ended December 31, 2012.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Loss from discontinued operations. </w:t>
      </w:r>
      <w:r>
        <w:rPr>
          <w:rFonts w:ascii="Arial" w:cs="Arial" w:eastAsia="Arial" w:hAnsi="Arial"/>
          <w:sz w:val="18"/>
          <w:szCs w:val="18"/>
          <w:color w:val="auto"/>
        </w:rPr>
        <w:t>Loss from discontinued operations reflects operating results from our DSL service assurance software product line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shut down during 2013. The loss from such discontinued operations was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4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418"/>
        </w:trPr>
        <w:tc>
          <w:tcPr>
            <w:tcW w:w="4880" w:type="dxa"/>
            <w:vAlign w:val="bottom"/>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tcPr>
          <w:p>
            <w:pPr>
              <w:jc w:val="right"/>
              <w:ind w:right="58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1,217</w:t>
            </w:r>
          </w:p>
        </w:tc>
      </w:tr>
      <w:tr>
        <w:trPr>
          <w:trHeight w:val="264"/>
        </w:trPr>
        <w:tc>
          <w:tcPr>
            <w:tcW w:w="488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4,866</w:t>
            </w:r>
          </w:p>
        </w:tc>
      </w:tr>
      <w:tr>
        <w:trPr>
          <w:trHeight w:val="229"/>
        </w:trPr>
        <w:tc>
          <w:tcPr>
            <w:tcW w:w="4880" w:type="dxa"/>
            <w:vAlign w:val="bottom"/>
          </w:tcPr>
          <w:p>
            <w:pPr>
              <w:ind w:left="160"/>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1,433</w:t>
            </w:r>
          </w:p>
        </w:tc>
      </w:tr>
      <w:tr>
        <w:trPr>
          <w:trHeight w:val="216"/>
        </w:trPr>
        <w:tc>
          <w:tcPr>
            <w:tcW w:w="488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r>
      <w:tr>
        <w:trPr>
          <w:trHeight w:val="21"/>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2014, we had cash and cash equivalents of $43.5 million, which represented a decrease of $29.2 million from December 31, 2013. The decrease in cash was primarily due to $38.2 million of cash used by financing activities, which was partially offset by $5.6 million of cash provided by operations and $3.4 million of cash provided by investing activities.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investing activities of $3.4 million consisted of $1.4 million from sales of investments and $2.1 million of net proceeds from the sale of patent assets. Cash provided by these two activities was partially offset by $0.1 million of capital spending.</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used by financing activities of $38.2 million was primarily the result of a $39.9 million special cash dividend paid on July 24, 2014 and $0.2 million of cash used to pay income taxes for employees who surrendered shares in connection with stock grants. Cash used by these two activities was partially offset by: i) $1.5 million of excess tax benefits from stock-based compensation, and ii) $0.5 million of proceeds from the exercise of stock options.</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G to our Consolidated Financial Statements in Item 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September 30, 2014 consisted of two elements:</w:t>
      </w:r>
    </w:p>
    <w:p>
      <w:pPr>
        <w:spacing w:after="0" w:line="197" w:lineRule="exact"/>
        <w:rPr>
          <w:sz w:val="20"/>
          <w:szCs w:val="20"/>
          <w:color w:val="auto"/>
        </w:rPr>
      </w:pPr>
    </w:p>
    <w:p>
      <w:pPr>
        <w:jc w:val="both"/>
        <w:ind w:left="340" w:right="20" w:hanging="332"/>
        <w:spacing w:after="0" w:line="264" w:lineRule="auto"/>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September 30, 2014, our cash and cash equivalents of $43.5 million were primarily invested in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The 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2014, our investments of $1.4 million were invested in high yield bonds with three corporate debt issuers,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mature in 2017 and 2018. While we are exposed to default risk, the high current yield of these bonds largely mitigates interest rate risk. Therefore, due to the high current yield and the three to four year life of these instruments, we do not believe that a general increase in interest rates would result in any material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2013,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52" w:lineRule="exact"/>
        <w:rPr>
          <w:sz w:val="20"/>
          <w:szCs w:val="20"/>
          <w:color w:val="auto"/>
        </w:rPr>
      </w:pPr>
    </w:p>
    <w:p>
      <w:pPr>
        <w:jc w:val="both"/>
        <w:ind w:left="2040" w:right="20" w:hanging="1458"/>
        <w:spacing w:after="0" w:line="277" w:lineRule="auto"/>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52" w:lineRule="exact"/>
        <w:rPr>
          <w:sz w:val="20"/>
          <w:szCs w:val="20"/>
          <w:color w:val="auto"/>
        </w:rPr>
      </w:pPr>
    </w:p>
    <w:p>
      <w:pPr>
        <w:jc w:val="both"/>
        <w:ind w:left="2040" w:hanging="1458"/>
        <w:spacing w:after="0" w:line="297"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The following financial statements from Aware, Inc.’s Quarterly Report on Form 10-Q for the quarter ended September 30, 2014, formatted in XBRL (eXtensible Business Reporting Language), as follows: (i) Consolidated Balance Sheets as of September 30, 2014 and December 31, 2013, (ii) Consolidated Statements of Income and Comprehensive Income for the Three and Nine Months Ended September 30, 2014 and September 30, 2013, (iii) Consolidated Statements of Cash Flows for the Nine Months Ended September 30, 2014 and September 30, 2013, and (iv) Notes to Consolidated Financial Statements.</w:t>
      </w:r>
    </w:p>
    <w:p>
      <w:pPr>
        <w:spacing w:after="0" w:line="185" w:lineRule="exact"/>
        <w:rPr>
          <w:sz w:val="20"/>
          <w:szCs w:val="20"/>
          <w:color w:val="auto"/>
        </w:rPr>
      </w:pPr>
    </w:p>
    <w:p>
      <w:pPr>
        <w:ind w:firstLine="8"/>
        <w:spacing w:after="0" w:line="342" w:lineRule="auto"/>
        <w:tabs>
          <w:tab w:leader="none" w:pos="1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147066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Date: October 24, 2014</w:t>
      </w:r>
      <w:r>
        <w:rPr>
          <w:sz w:val="20"/>
          <w:szCs w:val="20"/>
          <w:color w:val="auto"/>
        </w:rPr>
        <w:tab/>
      </w:r>
      <w:r>
        <w:rPr>
          <w:rFonts w:ascii="Arial" w:cs="Arial" w:eastAsia="Arial" w:hAnsi="Arial"/>
          <w:sz w:val="17"/>
          <w:szCs w:val="17"/>
          <w:color w:val="auto"/>
        </w:rPr>
        <w:t>By: /s/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w:t>
      </w:r>
    </w:p>
    <w:p>
      <w:pPr>
        <w:spacing w:after="0" w:line="211"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Date: October 24, 2014</w:t>
      </w:r>
      <w:r>
        <w:rPr>
          <w:sz w:val="20"/>
          <w:szCs w:val="20"/>
          <w:color w:val="auto"/>
        </w:rPr>
        <w:tab/>
      </w:r>
      <w:r>
        <w:rPr>
          <w:rFonts w:ascii="Arial" w:cs="Arial" w:eastAsia="Arial" w:hAnsi="Arial"/>
          <w:sz w:val="16"/>
          <w:szCs w:val="16"/>
          <w:color w:val="auto"/>
        </w:rPr>
        <w:t>By: /s/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(Principal Financial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October 24, 2014</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4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October 24, 2014</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September 30, 2014,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  Kevin T. Russell</w:t>
            </w:r>
          </w:p>
        </w:tc>
        <w:tc>
          <w:tcPr>
            <w:tcW w:w="5700" w:type="dxa"/>
            <w:vAlign w:val="bottom"/>
            <w:gridSpan w:val="2"/>
          </w:tcPr>
          <w:p>
            <w:pPr>
              <w:ind w:left="1720"/>
              <w:spacing w:after="0"/>
              <w:rPr>
                <w:sz w:val="20"/>
                <w:szCs w:val="20"/>
                <w:color w:val="auto"/>
              </w:rPr>
            </w:pPr>
            <w:r>
              <w:rPr>
                <w:rFonts w:ascii="Arial" w:cs="Arial" w:eastAsia="Arial" w:hAnsi="Arial"/>
                <w:sz w:val="18"/>
                <w:szCs w:val="18"/>
                <w:color w:val="auto"/>
              </w:rPr>
              <w:t>/s/  Richard P. Moberg</w:t>
            </w:r>
          </w:p>
        </w:tc>
      </w:tr>
      <w:tr>
        <w:trPr>
          <w:trHeight w:val="34"/>
        </w:trPr>
        <w:tc>
          <w:tcPr>
            <w:tcW w:w="436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co-Chief Executive Officer &amp; co-President</w:t>
            </w:r>
          </w:p>
        </w:tc>
        <w:tc>
          <w:tcPr>
            <w:tcW w:w="17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co-Chief Executive Officer &amp; co-President</w:t>
            </w:r>
          </w:p>
        </w:tc>
      </w:tr>
      <w:tr>
        <w:trPr>
          <w:trHeight w:val="230"/>
        </w:trPr>
        <w:tc>
          <w:tcPr>
            <w:tcW w:w="4360" w:type="dxa"/>
            <w:vAlign w:val="bottom"/>
          </w:tcPr>
          <w:p>
            <w:pPr>
              <w:spacing w:after="0"/>
              <w:rPr>
                <w:sz w:val="20"/>
                <w:szCs w:val="20"/>
                <w:color w:val="auto"/>
              </w:rPr>
            </w:pPr>
          </w:p>
        </w:tc>
        <w:tc>
          <w:tcPr>
            <w:tcW w:w="5700" w:type="dxa"/>
            <w:vAlign w:val="bottom"/>
            <w:gridSpan w:val="2"/>
          </w:tcPr>
          <w:p>
            <w:pPr>
              <w:ind w:left="1720"/>
              <w:spacing w:after="0"/>
              <w:rPr>
                <w:sz w:val="20"/>
                <w:szCs w:val="20"/>
                <w:color w:val="auto"/>
              </w:rPr>
            </w:pPr>
            <w:r>
              <w:rPr>
                <w:rFonts w:ascii="Arial" w:cs="Arial" w:eastAsia="Arial" w:hAnsi="Arial"/>
                <w:sz w:val="18"/>
                <w:szCs w:val="18"/>
                <w:color w:val="auto"/>
              </w:rPr>
              <w:t>Chief Financial Officer</w:t>
            </w: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Date: October 24, 2014</w:t>
            </w:r>
          </w:p>
        </w:tc>
        <w:tc>
          <w:tcPr>
            <w:tcW w:w="5700" w:type="dxa"/>
            <w:vAlign w:val="bottom"/>
            <w:gridSpan w:val="2"/>
          </w:tcPr>
          <w:p>
            <w:pPr>
              <w:ind w:left="1720"/>
              <w:spacing w:after="0"/>
              <w:rPr>
                <w:sz w:val="20"/>
                <w:szCs w:val="20"/>
                <w:color w:val="auto"/>
              </w:rPr>
            </w:pPr>
            <w:r>
              <w:rPr>
                <w:rFonts w:ascii="Arial" w:cs="Arial" w:eastAsia="Arial" w:hAnsi="Arial"/>
                <w:sz w:val="18"/>
                <w:szCs w:val="18"/>
                <w:color w:val="auto"/>
              </w:rPr>
              <w:t>Date: October 24, 2014</w:t>
            </w: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1"/>
    </w:lvl>
  </w:abstractNum>
  <w:abstractNum w:abstractNumId="1">
    <w:nsid w:val="5BD062C2"/>
    <w:multiLevelType w:val="hybridMultilevel"/>
    <w:lvl w:ilvl="0">
      <w:lvlJc w:val="left"/>
      <w:lvlText w:val="%1)"/>
      <w:numFmt w:val="upperLetter"/>
      <w:start w:val="3"/>
    </w:lvl>
  </w:abstractNum>
  <w:abstractNum w:abstractNumId="2">
    <w:nsid w:val="12200854"/>
    <w:multiLevelType w:val="hybridMultilevel"/>
    <w:lvl w:ilvl="0">
      <w:lvlJc w:val="left"/>
      <w:lvlText w:val="%1)"/>
      <w:numFmt w:val="upperLetter"/>
      <w:start w:val="4"/>
    </w:lvl>
  </w:abstractNum>
  <w:abstractNum w:abstractNumId="3">
    <w:nsid w:val="4DB127F8"/>
    <w:multiLevelType w:val="hybridMultilevel"/>
    <w:lvl w:ilvl="0">
      <w:lvlJc w:val="left"/>
      <w:lvlText w:val="%1)"/>
      <w:numFmt w:val="upperLetter"/>
      <w:start w:val="5"/>
    </w:lvl>
  </w:abstractNum>
  <w:abstractNum w:abstractNumId="4">
    <w:nsid w:val="216231B"/>
    <w:multiLevelType w:val="hybridMultilevel"/>
    <w:lvl w:ilvl="0">
      <w:lvlJc w:val="left"/>
      <w:lvlText w:val="%1)"/>
      <w:numFmt w:val="upperLetter"/>
      <w:start w:val="6"/>
    </w:lvl>
  </w:abstractNum>
  <w:abstractNum w:abstractNumId="5">
    <w:nsid w:val="1F16E9E8"/>
    <w:multiLevelType w:val="hybridMultilevel"/>
    <w:lvl w:ilvl="0">
      <w:lvlJc w:val="left"/>
      <w:lvlText w:val="%1)"/>
      <w:numFmt w:val="upperLetter"/>
      <w:start w:val="7"/>
    </w:lvl>
  </w:abstractNum>
  <w:abstractNum w:abstractNumId="6">
    <w:nsid w:val="1190CDE7"/>
    <w:multiLevelType w:val="hybridMultilevel"/>
    <w:lvl w:ilvl="0">
      <w:lvlJc w:val="left"/>
      <w:lvlText w:val="%1)"/>
      <w:numFmt w:val="upperLetter"/>
      <w:start w:val="8"/>
    </w:lvl>
  </w:abstractNum>
  <w:abstractNum w:abstractNumId="7">
    <w:nsid w:val="66EF438D"/>
    <w:multiLevelType w:val="hybridMultilevel"/>
    <w:lvl w:ilvl="0">
      <w:lvlJc w:val="left"/>
      <w:lvlText w:val="%1)"/>
      <w:numFmt w:val="upperLetter"/>
      <w:start w:val="10"/>
    </w:lvl>
  </w:abstractNum>
  <w:abstractNum w:abstractNumId="8">
    <w:nsid w:val="140E0F7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
    <w:nsid w:val="3352255A"/>
    <w:multiLevelType w:val="hybridMultilevel"/>
    <w:lvl w:ilvl="0">
      <w:lvlJc w:val="left"/>
      <w:lvlText w:val="%1)"/>
      <w:numFmt w:val="upperLetter"/>
      <w:start w:val="11"/>
    </w:lvl>
    <w:lvl w:ilvl="1">
      <w:lvlJc w:val="left"/>
      <w:lvlText w:val="%2"/>
      <w:numFmt w:val="lowerLetter"/>
      <w:start w:val="1"/>
    </w:lvl>
    <w:lvl w:ilvl="2">
      <w:lvlJc w:val="left"/>
      <w:lvlText w:val="%3)"/>
      <w:numFmt w:val="lowerRoman"/>
      <w:start w:val="1"/>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2019-12-06T15:05:27Z</dcterms:created>
  <dcterms:modified xsi:type="dcterms:W3CDTF">2019-12-06T15:05:27Z</dcterms:modified>
</cp:coreProperties>
</file>