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40" w:type="dxa"/>
            <w:vAlign w:val="bottom"/>
            <w:gridSpan w:val="5"/>
          </w:tcPr>
          <w:p>
            <w:pPr>
              <w:jc w:val="center"/>
              <w:ind w:right="2580"/>
              <w:spacing w:after="0"/>
              <w:rPr>
                <w:sz w:val="20"/>
                <w:szCs w:val="20"/>
                <w:color w:val="auto"/>
              </w:rPr>
            </w:pPr>
            <w:r>
              <w:rPr>
                <w:rFonts w:ascii="Arial" w:cs="Arial" w:eastAsia="Arial" w:hAnsi="Arial"/>
                <w:sz w:val="18"/>
                <w:szCs w:val="18"/>
                <w:b w:val="1"/>
                <w:bCs w:val="1"/>
                <w:color w:val="auto"/>
                <w:w w:val="92"/>
              </w:rPr>
              <w:t>For the quarter ended March 31, 2014</w:t>
            </w:r>
          </w:p>
        </w:tc>
      </w:tr>
      <w:tr>
        <w:trPr>
          <w:trHeight w:val="459"/>
        </w:trPr>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40" w:type="dxa"/>
            <w:vAlign w:val="bottom"/>
            <w:gridSpan w:val="5"/>
          </w:tcPr>
          <w:p>
            <w:pPr>
              <w:jc w:val="center"/>
              <w:ind w:right="2580"/>
              <w:spacing w:after="0"/>
              <w:rPr>
                <w:sz w:val="20"/>
                <w:szCs w:val="20"/>
                <w:color w:val="auto"/>
              </w:rPr>
            </w:pPr>
            <w:r>
              <w:rPr>
                <w:rFonts w:ascii="Arial" w:cs="Arial" w:eastAsia="Arial" w:hAnsi="Arial"/>
                <w:sz w:val="18"/>
                <w:szCs w:val="18"/>
                <w:b w:val="1"/>
                <w:bCs w:val="1"/>
                <w:color w:val="auto"/>
                <w:w w:val="89"/>
              </w:rPr>
              <w:t>Commission file number 000-21129</w:t>
            </w:r>
          </w:p>
        </w:tc>
      </w:tr>
      <w:tr>
        <w:trPr>
          <w:trHeight w:val="466"/>
        </w:trPr>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AWARE, INC.</w:t>
            </w:r>
          </w:p>
        </w:tc>
        <w:tc>
          <w:tcPr>
            <w:tcW w:w="4040" w:type="dxa"/>
            <w:vAlign w:val="bottom"/>
            <w:gridSpan w:val="3"/>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40" w:type="dxa"/>
            <w:vAlign w:val="bottom"/>
            <w:gridSpan w:val="5"/>
          </w:tcPr>
          <w:p>
            <w:pPr>
              <w:jc w:val="center"/>
              <w:ind w:right="258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52"/>
        </w:trPr>
        <w:tc>
          <w:tcPr>
            <w:tcW w:w="5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620" w:type="dxa"/>
            <w:vAlign w:val="bottom"/>
          </w:tcPr>
          <w:p>
            <w:pPr>
              <w:spacing w:after="0"/>
              <w:rPr>
                <w:sz w:val="24"/>
                <w:szCs w:val="24"/>
                <w:color w:val="auto"/>
              </w:rPr>
            </w:pPr>
          </w:p>
        </w:tc>
        <w:tc>
          <w:tcPr>
            <w:tcW w:w="488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04-2911026</w:t>
            </w:r>
          </w:p>
        </w:tc>
        <w:tc>
          <w:tcPr>
            <w:tcW w:w="860" w:type="dxa"/>
            <w:vAlign w:val="bottom"/>
          </w:tcPr>
          <w:p>
            <w:pPr>
              <w:spacing w:after="0"/>
              <w:rPr>
                <w:sz w:val="24"/>
                <w:szCs w:val="24"/>
                <w:color w:val="auto"/>
              </w:rPr>
            </w:pPr>
          </w:p>
        </w:tc>
      </w:tr>
      <w:tr>
        <w:trPr>
          <w:trHeight w:val="202"/>
        </w:trPr>
        <w:tc>
          <w:tcPr>
            <w:tcW w:w="2280" w:type="dxa"/>
            <w:vAlign w:val="bottom"/>
            <w:gridSpan w:val="3"/>
          </w:tcPr>
          <w:p>
            <w:pPr>
              <w:jc w:val="center"/>
              <w:ind w:right="60"/>
              <w:spacing w:after="0" w:line="201" w:lineRule="exact"/>
              <w:rPr>
                <w:sz w:val="20"/>
                <w:szCs w:val="20"/>
                <w:color w:val="auto"/>
              </w:rPr>
            </w:pPr>
            <w:r>
              <w:rPr>
                <w:rFonts w:ascii="Arial" w:cs="Arial" w:eastAsia="Arial" w:hAnsi="Arial"/>
                <w:sz w:val="18"/>
                <w:szCs w:val="18"/>
                <w:color w:val="auto"/>
                <w:w w:val="91"/>
              </w:rPr>
              <w:t>(State or Other Jurisdiction of</w:t>
            </w: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40" w:type="dxa"/>
            <w:vAlign w:val="bottom"/>
            <w:gridSpan w:val="3"/>
          </w:tcPr>
          <w:p>
            <w:pPr>
              <w:jc w:val="center"/>
              <w:ind w:left="133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2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5"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April 18, 2014:</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c>
          <w:tcPr>
            <w:tcW w:w="282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82"/>
              </w:rPr>
              <w:t>Common Stock,</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9"/>
              </w:rPr>
              <w:t>par</w:t>
            </w:r>
          </w:p>
        </w:tc>
        <w:tc>
          <w:tcPr>
            <w:tcW w:w="4700" w:type="dxa"/>
            <w:vAlign w:val="bottom"/>
          </w:tcPr>
          <w:p>
            <w:pPr>
              <w:spacing w:after="0"/>
              <w:rPr>
                <w:sz w:val="20"/>
                <w:szCs w:val="20"/>
                <w:color w:val="auto"/>
              </w:rPr>
            </w:pPr>
            <w:r>
              <w:rPr>
                <w:rFonts w:ascii="Arial" w:cs="Arial" w:eastAsia="Arial" w:hAnsi="Arial"/>
                <w:sz w:val="18"/>
                <w:szCs w:val="18"/>
                <w:color w:val="auto"/>
              </w:rPr>
              <w:t>value $0.01 per share</w:t>
            </w: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22,627,475 shares</w:t>
            </w:r>
          </w:p>
        </w:tc>
        <w:tc>
          <w:tcPr>
            <w:tcW w:w="2820" w:type="dxa"/>
            <w:vAlign w:val="bottom"/>
          </w:tcPr>
          <w:p>
            <w:pPr>
              <w:spacing w:after="0"/>
              <w:rPr>
                <w:sz w:val="20"/>
                <w:szCs w:val="20"/>
                <w:color w:val="auto"/>
              </w:rPr>
            </w:pPr>
          </w:p>
        </w:tc>
      </w:tr>
      <w:tr>
        <w:trPr>
          <w:trHeight w:val="104"/>
        </w:trPr>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20" w:type="dxa"/>
            <w:vAlign w:val="bottom"/>
          </w:tcPr>
          <w:p>
            <w:pPr>
              <w:spacing w:after="0"/>
              <w:rPr>
                <w:sz w:val="9"/>
                <w:szCs w:val="9"/>
                <w:color w:val="auto"/>
              </w:rPr>
            </w:pPr>
          </w:p>
        </w:tc>
      </w:tr>
      <w:tr>
        <w:trPr>
          <w:trHeight w:val="71"/>
        </w:trPr>
        <w:tc>
          <w:tcPr>
            <w:tcW w:w="108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470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2820" w:type="dxa"/>
            <w:vAlign w:val="bottom"/>
            <w:shd w:val="clear" w:color="auto" w:fill="808080"/>
          </w:tcPr>
          <w:p>
            <w:pPr>
              <w:spacing w:after="0"/>
              <w:rPr>
                <w:sz w:val="6"/>
                <w:szCs w:val="6"/>
                <w:color w:val="auto"/>
              </w:rPr>
            </w:pPr>
          </w:p>
        </w:tc>
      </w:tr>
      <w:tr>
        <w:trPr>
          <w:trHeight w:val="419"/>
        </w:trPr>
        <w:tc>
          <w:tcPr>
            <w:tcW w:w="10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470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2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439"/>
        </w:trPr>
        <w:tc>
          <w:tcPr>
            <w:tcW w:w="84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w:t>
            </w:r>
          </w:p>
        </w:tc>
        <w:tc>
          <w:tcPr>
            <w:tcW w:w="10140" w:type="dxa"/>
            <w:vAlign w:val="bottom"/>
          </w:tcPr>
          <w:p>
            <w:pPr>
              <w:ind w:left="200"/>
              <w:spacing w:after="0"/>
              <w:rPr>
                <w:sz w:val="20"/>
                <w:szCs w:val="20"/>
                <w:color w:val="auto"/>
              </w:rPr>
            </w:pPr>
            <w:r>
              <w:rPr>
                <w:rFonts w:ascii="Arial" w:cs="Arial" w:eastAsia="Arial" w:hAnsi="Arial"/>
                <w:sz w:val="18"/>
                <w:szCs w:val="18"/>
                <w:color w:val="auto"/>
              </w:rPr>
              <w:t>FINANCIAL INFORMATION</w:t>
            </w:r>
          </w:p>
        </w:tc>
        <w:tc>
          <w:tcPr>
            <w:tcW w:w="4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4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Consolidated Balance Sheets as of March 31, 2014 and December 31, 2013</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840" w:type="dxa"/>
            <w:vAlign w:val="bottom"/>
          </w:tcPr>
          <w:p>
            <w:pPr>
              <w:spacing w:after="0"/>
              <w:rPr>
                <w:sz w:val="24"/>
                <w:szCs w:val="24"/>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w w:val="95"/>
              </w:rPr>
              <w:t>Consolidated Statements of Income and Comprehensive Income for the Three Months Ended March 31, 2014 and March 31, 2013</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840" w:type="dxa"/>
            <w:vAlign w:val="bottom"/>
          </w:tcPr>
          <w:p>
            <w:pPr>
              <w:spacing w:after="0"/>
              <w:rPr>
                <w:sz w:val="24"/>
                <w:szCs w:val="24"/>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 Three Months Ended March 31, 2014 and March 31, 2013</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40" w:type="dxa"/>
            <w:vAlign w:val="bottom"/>
          </w:tcPr>
          <w:p>
            <w:pPr>
              <w:spacing w:after="0"/>
              <w:rPr>
                <w:sz w:val="24"/>
                <w:szCs w:val="24"/>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PART II</w:t>
            </w:r>
          </w:p>
        </w:tc>
        <w:tc>
          <w:tcPr>
            <w:tcW w:w="101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44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101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tcPr>
          <w:p>
            <w:pPr>
              <w:ind w:left="200"/>
              <w:spacing w:after="0"/>
              <w:rPr>
                <w:sz w:val="20"/>
                <w:szCs w:val="20"/>
                <w:color w:val="auto"/>
              </w:rPr>
            </w:pPr>
            <w:r>
              <w:rPr>
                <w:rFonts w:ascii="Arial" w:cs="Arial" w:eastAsia="Arial" w:hAnsi="Arial"/>
                <w:sz w:val="18"/>
                <w:szCs w:val="18"/>
                <w:color w:val="auto"/>
              </w:rPr>
              <w:t>Mine Safety Disclosures</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10140" w:type="dxa"/>
            <w:vAlign w:val="bottom"/>
          </w:tcPr>
          <w:p>
            <w:pPr>
              <w:ind w:left="200"/>
              <w:spacing w:after="0"/>
              <w:rPr>
                <w:sz w:val="20"/>
                <w:szCs w:val="20"/>
                <w:color w:val="auto"/>
              </w:rPr>
            </w:pPr>
            <w:r>
              <w:rPr>
                <w:rFonts w:ascii="Arial" w:cs="Arial" w:eastAsia="Arial" w:hAnsi="Arial"/>
                <w:sz w:val="18"/>
                <w:szCs w:val="18"/>
                <w:color w:val="auto"/>
              </w:rPr>
              <w:t>Exhibits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840" w:type="dxa"/>
            <w:vAlign w:val="bottom"/>
          </w:tcPr>
          <w:p>
            <w:pPr>
              <w:spacing w:after="0"/>
              <w:rPr>
                <w:sz w:val="24"/>
                <w:szCs w:val="24"/>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75"/>
        </w:trPr>
        <w:tc>
          <w:tcPr>
            <w:tcW w:w="840" w:type="dxa"/>
            <w:vAlign w:val="bottom"/>
            <w:tcBorders>
              <w:bottom w:val="single" w:sz="8" w:color="DCDCDC"/>
            </w:tcBorders>
          </w:tcPr>
          <w:p>
            <w:pPr>
              <w:spacing w:after="0"/>
              <w:rPr>
                <w:sz w:val="24"/>
                <w:szCs w:val="24"/>
                <w:color w:val="auto"/>
              </w:rPr>
            </w:pPr>
          </w:p>
        </w:tc>
        <w:tc>
          <w:tcPr>
            <w:tcW w:w="10140" w:type="dxa"/>
            <w:vAlign w:val="bottom"/>
            <w:tcBorders>
              <w:bottom w:val="single" w:sz="8" w:color="DCDCDC"/>
            </w:tcBorders>
          </w:tcPr>
          <w:p>
            <w:pPr>
              <w:ind w:left="482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74,368</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72,660</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80,079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79,921</w:t>
            </w: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89,462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89,329</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and outstanding 22,627,375 as of March 31, 2014 and 22,574,251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as of December 31, 2013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101,833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101,293</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86,654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85,150</w:t>
            </w:r>
          </w:p>
        </w:tc>
        <w:tc>
          <w:tcPr>
            <w:tcW w:w="0" w:type="dxa"/>
            <w:vAlign w:val="bottom"/>
          </w:tcPr>
          <w:p>
            <w:pPr>
              <w:spacing w:after="0"/>
              <w:rPr>
                <w:sz w:val="1"/>
                <w:szCs w:val="1"/>
                <w:color w:val="auto"/>
              </w:rPr>
            </w:pPr>
          </w:p>
        </w:tc>
      </w:tr>
      <w:tr>
        <w:trPr>
          <w:trHeight w:val="432"/>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89,462</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89,329</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jc w:val="center"/>
        <w:ind w:right="34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Hardware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Cost of hardware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7"/>
        </w:trPr>
        <w:tc>
          <w:tcPr>
            <w:tcW w:w="8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8480" w:type="dxa"/>
            <w:vAlign w:val="bottom"/>
          </w:tcPr>
          <w:p>
            <w:pPr>
              <w:ind w:left="440"/>
              <w:spacing w:after="0"/>
              <w:rPr>
                <w:sz w:val="20"/>
                <w:szCs w:val="20"/>
                <w:color w:val="auto"/>
              </w:rPr>
            </w:pPr>
            <w:r>
              <w:rPr>
                <w:rFonts w:ascii="Arial" w:cs="Arial" w:eastAsia="Arial" w:hAnsi="Arial"/>
                <w:sz w:val="18"/>
                <w:szCs w:val="18"/>
                <w:color w:val="auto"/>
              </w:rPr>
              <w:t>Total cost and expenses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Operating income before patent related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Income from patent arrangement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Operating income after patent related income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8480" w:type="dxa"/>
            <w:vAlign w:val="bottom"/>
          </w:tcPr>
          <w:p>
            <w:pPr>
              <w:ind w:left="120"/>
              <w:spacing w:after="0"/>
              <w:rPr>
                <w:sz w:val="20"/>
                <w:szCs w:val="20"/>
                <w:color w:val="auto"/>
              </w:rPr>
            </w:pPr>
            <w:r>
              <w:rPr>
                <w:rFonts w:ascii="Arial" w:cs="Arial" w:eastAsia="Arial" w:hAnsi="Arial"/>
                <w:sz w:val="18"/>
                <w:szCs w:val="18"/>
                <w:color w:val="auto"/>
              </w:rPr>
              <w:t>Basic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8480" w:type="dxa"/>
            <w:vAlign w:val="bottom"/>
          </w:tcPr>
          <w:p>
            <w:pPr>
              <w:ind w:left="120"/>
              <w:spacing w:after="0"/>
              <w:rPr>
                <w:sz w:val="20"/>
                <w:szCs w:val="20"/>
                <w:color w:val="auto"/>
              </w:rPr>
            </w:pPr>
            <w:r>
              <w:rPr>
                <w:rFonts w:ascii="Arial" w:cs="Arial" w:eastAsia="Arial" w:hAnsi="Arial"/>
                <w:sz w:val="18"/>
                <w:szCs w:val="18"/>
                <w:color w:val="auto"/>
              </w:rPr>
              <w:t>Diluted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848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22,511</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8480" w:type="dxa"/>
            <w:vAlign w:val="bottom"/>
          </w:tcPr>
          <w:p>
            <w:pPr>
              <w:ind w:left="12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60"/>
              <w:spacing w:after="0"/>
              <w:rPr>
                <w:sz w:val="20"/>
                <w:szCs w:val="20"/>
                <w:color w:val="auto"/>
              </w:rPr>
            </w:pPr>
            <w:r>
              <w:rPr>
                <w:rFonts w:ascii="Arial" w:cs="Arial" w:eastAsia="Arial" w:hAnsi="Arial"/>
                <w:sz w:val="18"/>
                <w:szCs w:val="18"/>
                <w:color w:val="auto"/>
              </w:rPr>
              <w:t>Unrealized gains on available for sale securities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provided by 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premium on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 tax provision on other comprehensive income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Receivable from patent arrangement</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88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Payments made for taxes of employees who surrendered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shares related to unrestricted stock</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72,660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74,368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72,507</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2013 in conjunction with our 2013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accompanying unaudited consolidated balance sheets, statements of income and comprehensive income, and statements of cash flows reflect all adjustments (consisting only of normal recurring items) which are, in the opinion of management, necessary for a fair presentation of financial position at March 31, 2014, and of operations and cash flows for the interim periods ended March 31, 2014 and 2013.</w:t>
      </w:r>
    </w:p>
    <w:p>
      <w:pPr>
        <w:spacing w:after="0" w:line="19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March 31, 2014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right="2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$74.4 million and $72.7 million as of March 31, 2014 and December 31, 2013, respectively. We classified our cash equivalents of $68.6 million as of March 31, 2014 and December 31, 2013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$2.9 million and $2.8 million of available-for-sale investments as of March 31, 2014 and December 31, 2013, respectively.</w:t>
      </w:r>
    </w:p>
    <w:p>
      <w:pPr>
        <w:spacing w:after="0" w:line="192"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March 31, 2014,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ind w:right="135"/>
              <w:spacing w:after="0"/>
              <w:rPr>
                <w:sz w:val="20"/>
                <w:szCs w:val="20"/>
                <w:color w:val="auto"/>
              </w:rPr>
            </w:pPr>
            <w:r>
              <w:rPr>
                <w:rFonts w:ascii="Arial" w:cs="Arial" w:eastAsia="Arial" w:hAnsi="Arial"/>
                <w:sz w:val="18"/>
                <w:szCs w:val="18"/>
                <w:color w:val="auto"/>
                <w:w w:val="94"/>
              </w:rPr>
              <w:t>Fair Value Measurement at March 31, 2014 Using:</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60" w:type="dxa"/>
            <w:vAlign w:val="bottom"/>
            <w:gridSpan w:val="2"/>
          </w:tcPr>
          <w:p>
            <w:pPr>
              <w:jc w:val="center"/>
              <w:ind w:right="10"/>
              <w:spacing w:after="0" w:line="201" w:lineRule="exact"/>
              <w:rPr>
                <w:sz w:val="20"/>
                <w:szCs w:val="20"/>
                <w:color w:val="auto"/>
              </w:rPr>
            </w:pPr>
            <w:r>
              <w:rPr>
                <w:rFonts w:ascii="Arial" w:cs="Arial" w:eastAsia="Arial" w:hAnsi="Arial"/>
                <w:sz w:val="18"/>
                <w:szCs w:val="18"/>
                <w:color w:val="auto"/>
                <w:w w:val="90"/>
              </w:rPr>
              <w:t>Quoted Prices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3360" w:type="dxa"/>
            <w:vAlign w:val="bottom"/>
            <w:gridSpan w:val="3"/>
          </w:tcPr>
          <w:p>
            <w:pPr>
              <w:jc w:val="center"/>
              <w:ind w:left="1710"/>
              <w:spacing w:after="0"/>
              <w:rPr>
                <w:sz w:val="20"/>
                <w:szCs w:val="20"/>
                <w:color w:val="auto"/>
              </w:rPr>
            </w:pPr>
            <w:r>
              <w:rPr>
                <w:rFonts w:ascii="Arial" w:cs="Arial" w:eastAsia="Arial" w:hAnsi="Arial"/>
                <w:sz w:val="18"/>
                <w:szCs w:val="18"/>
                <w:color w:val="auto"/>
                <w:w w:val="94"/>
              </w:rPr>
              <w:t>Active Markets for</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Significant Other</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0"/>
              </w:rPr>
              <w:t>Identical Assets</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4"/>
              </w:rPr>
              <w:t>Observable Inputs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3)</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Corporate debt securities</w:t>
            </w:r>
          </w:p>
        </w:tc>
        <w:tc>
          <w:tcPr>
            <w:tcW w:w="1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2,896</w:t>
            </w:r>
          </w:p>
        </w:tc>
        <w:tc>
          <w:tcPr>
            <w:tcW w:w="1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68,641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71,537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900" w:type="dxa"/>
            <w:vAlign w:val="bottom"/>
            <w:vMerge w:val="restart"/>
          </w:tcPr>
          <w:p>
            <w:pPr>
              <w:jc w:val="right"/>
              <w:ind w:right="12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180" w:type="dxa"/>
            <w:vAlign w:val="bottom"/>
            <w:tcBorders>
              <w:bottom w:val="single" w:sz="8" w:color="DCDCDC"/>
            </w:tcBorders>
          </w:tcPr>
          <w:p>
            <w:pPr>
              <w:spacing w:after="0"/>
              <w:rPr>
                <w:sz w:val="24"/>
                <w:szCs w:val="24"/>
                <w:color w:val="auto"/>
              </w:rPr>
            </w:pPr>
          </w:p>
        </w:tc>
        <w:tc>
          <w:tcPr>
            <w:tcW w:w="190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As of December 31, 2013,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0"/>
              </w:rPr>
              <w:t>Fair Value Measurement at December 31, 2013 Using:</w:t>
            </w:r>
          </w:p>
        </w:tc>
        <w:tc>
          <w:tcPr>
            <w:tcW w:w="180" w:type="dxa"/>
            <w:vAlign w:val="bottom"/>
            <w:tcBorders>
              <w:bottom w:val="single" w:sz="8" w:color="auto"/>
            </w:tcBorders>
          </w:tcPr>
          <w:p>
            <w:pPr>
              <w:spacing w:after="0"/>
              <w:rPr>
                <w:sz w:val="20"/>
                <w:szCs w:val="20"/>
                <w:color w:val="auto"/>
              </w:rPr>
            </w:pPr>
          </w:p>
        </w:tc>
      </w:tr>
      <w:tr>
        <w:trPr>
          <w:trHeight w:val="202"/>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tcPr>
          <w:p>
            <w:pPr>
              <w:jc w:val="center"/>
              <w:ind w:right="30"/>
              <w:spacing w:after="0" w:line="201" w:lineRule="exact"/>
              <w:rPr>
                <w:sz w:val="20"/>
                <w:szCs w:val="20"/>
                <w:color w:val="auto"/>
              </w:rPr>
            </w:pPr>
            <w:r>
              <w:rPr>
                <w:rFonts w:ascii="Arial" w:cs="Arial" w:eastAsia="Arial" w:hAnsi="Arial"/>
                <w:sz w:val="18"/>
                <w:szCs w:val="18"/>
                <w:color w:val="auto"/>
                <w:w w:val="90"/>
              </w:rPr>
              <w:t>Quoted Prices 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7"/>
                <w:szCs w:val="17"/>
                <w:color w:val="auto"/>
              </w:rPr>
            </w:pPr>
          </w:p>
        </w:tc>
      </w:tr>
      <w:tr>
        <w:trPr>
          <w:trHeight w:val="216"/>
        </w:trPr>
        <w:tc>
          <w:tcPr>
            <w:tcW w:w="6740" w:type="dxa"/>
            <w:vAlign w:val="bottom"/>
          </w:tcPr>
          <w:p>
            <w:pPr>
              <w:spacing w:after="0"/>
              <w:rPr>
                <w:sz w:val="18"/>
                <w:szCs w:val="18"/>
                <w:color w:val="auto"/>
              </w:rPr>
            </w:pPr>
          </w:p>
        </w:tc>
        <w:tc>
          <w:tcPr>
            <w:tcW w:w="1460" w:type="dxa"/>
            <w:vAlign w:val="bottom"/>
            <w:gridSpan w:val="3"/>
          </w:tcPr>
          <w:p>
            <w:pPr>
              <w:jc w:val="center"/>
              <w:ind w:right="10"/>
              <w:spacing w:after="0"/>
              <w:rPr>
                <w:sz w:val="20"/>
                <w:szCs w:val="20"/>
                <w:color w:val="auto"/>
              </w:rPr>
            </w:pPr>
            <w:r>
              <w:rPr>
                <w:rFonts w:ascii="Arial" w:cs="Arial" w:eastAsia="Arial" w:hAnsi="Arial"/>
                <w:sz w:val="18"/>
                <w:szCs w:val="18"/>
                <w:color w:val="auto"/>
                <w:w w:val="94"/>
              </w:rPr>
              <w:t>Active Markets for</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Significant Other</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8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0"/>
              </w:rPr>
              <w:t>Identical Assets</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4"/>
              </w:rPr>
              <w:t>Observable Inputs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18"/>
                <w:szCs w:val="18"/>
                <w:color w:val="auto"/>
              </w:rPr>
            </w:pPr>
          </w:p>
        </w:tc>
      </w:t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3)</w:t>
            </w:r>
          </w:p>
        </w:tc>
        <w:tc>
          <w:tcPr>
            <w:tcW w:w="180" w:type="dxa"/>
            <w:vAlign w:val="bottom"/>
            <w:tcBorders>
              <w:bottom w:val="single" w:sz="8" w:color="auto"/>
            </w:tcBorders>
          </w:tcPr>
          <w:p>
            <w:pPr>
              <w:spacing w:after="0"/>
              <w:rPr>
                <w:sz w:val="20"/>
                <w:szCs w:val="20"/>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2,754</w:t>
            </w:r>
          </w:p>
        </w:tc>
        <w:tc>
          <w:tcPr>
            <w:tcW w:w="12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9"/>
              </w:rPr>
              <w:t>-</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68,556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16"/>
        </w:trPr>
        <w:tc>
          <w:tcPr>
            <w:tcW w:w="674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r>
      <w:tr>
        <w:trPr>
          <w:trHeight w:val="21"/>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net realizable value with cost being determined by the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Inventories consisted of the following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6540" w:type="dxa"/>
            <w:vAlign w:val="bottom"/>
          </w:tcPr>
          <w:p>
            <w:pPr>
              <w:spacing w:after="0"/>
              <w:rPr>
                <w:sz w:val="20"/>
                <w:szCs w:val="20"/>
                <w:color w:val="auto"/>
              </w:rPr>
            </w:pPr>
          </w:p>
        </w:tc>
        <w:tc>
          <w:tcPr>
            <w:tcW w:w="1000" w:type="dxa"/>
            <w:vAlign w:val="bottom"/>
            <w:gridSpan w:val="2"/>
          </w:tcPr>
          <w:p>
            <w:pPr>
              <w:jc w:val="right"/>
              <w:ind w:right="197"/>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980" w:type="dxa"/>
            <w:vAlign w:val="bottom"/>
            <w:tcBorders>
              <w:top w:val="single" w:sz="8" w:color="auto"/>
            </w:tcBorders>
          </w:tcPr>
          <w:p>
            <w:pPr>
              <w:jc w:val="right"/>
              <w:ind w:right="85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1,584</w:t>
            </w: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57"/>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1,601</w:t>
            </w:r>
          </w:p>
        </w:tc>
      </w:tr>
      <w:tr>
        <w:trPr>
          <w:trHeight w:val="21"/>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9"/>
              </w:rPr>
              <w:t>Net income:</w:t>
            </w:r>
          </w:p>
        </w:tc>
        <w:tc>
          <w:tcPr>
            <w:tcW w:w="76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40" w:type="dxa"/>
            <w:vAlign w:val="bottom"/>
            <w:gridSpan w:val="5"/>
          </w:tcPr>
          <w:p>
            <w:pPr>
              <w:ind w:left="48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
        </w:trPr>
        <w:tc>
          <w:tcPr>
            <w:tcW w:w="8480" w:type="dxa"/>
            <w:vAlign w:val="bottom"/>
            <w:gridSpan w:val="6"/>
            <w:vMerge w:val="restart"/>
          </w:tcPr>
          <w:p>
            <w:pPr>
              <w:spacing w:after="0"/>
              <w:rPr>
                <w:sz w:val="20"/>
                <w:szCs w:val="20"/>
                <w:color w:val="auto"/>
              </w:rPr>
            </w:pPr>
            <w:r>
              <w:rPr>
                <w:rFonts w:ascii="Arial" w:cs="Arial" w:eastAsia="Arial" w:hAnsi="Arial"/>
                <w:sz w:val="18"/>
                <w:szCs w:val="18"/>
                <w:color w:val="auto"/>
              </w:rPr>
              <w:t>Shares outstanding:</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48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Additional dilutive common stock equivalents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Diluted shares outstanding</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22,699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40" w:type="dxa"/>
            <w:vAlign w:val="bottom"/>
            <w:gridSpan w:val="5"/>
            <w:vMerge w:val="restart"/>
          </w:tcPr>
          <w:p>
            <w:pPr>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844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8440" w:type="dxa"/>
            <w:vAlign w:val="bottom"/>
            <w:gridSpan w:val="5"/>
          </w:tcPr>
          <w:p>
            <w:pPr>
              <w:ind w:left="300"/>
              <w:spacing w:after="0"/>
              <w:rPr>
                <w:sz w:val="20"/>
                <w:szCs w:val="20"/>
                <w:color w:val="auto"/>
              </w:rPr>
            </w:pPr>
            <w:r>
              <w:rPr>
                <w:rFonts w:ascii="Arial" w:cs="Arial" w:eastAsia="Arial" w:hAnsi="Arial"/>
                <w:sz w:val="18"/>
                <w:szCs w:val="18"/>
                <w:color w:val="auto"/>
              </w:rPr>
              <w:t>Basic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gridSpan w:val="5"/>
          </w:tcPr>
          <w:p>
            <w:pPr>
              <w:ind w:left="300"/>
              <w:spacing w:after="0"/>
              <w:rPr>
                <w:sz w:val="20"/>
                <w:szCs w:val="20"/>
                <w:color w:val="auto"/>
              </w:rPr>
            </w:pPr>
            <w:r>
              <w:rPr>
                <w:rFonts w:ascii="Arial" w:cs="Arial" w:eastAsia="Arial" w:hAnsi="Arial"/>
                <w:sz w:val="18"/>
                <w:szCs w:val="18"/>
                <w:color w:val="auto"/>
              </w:rPr>
              <w:t>Basic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color w:val="auto"/>
              </w:rPr>
              <w:t>Basic net income per share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40" w:type="dxa"/>
            <w:vAlign w:val="bottom"/>
            <w:gridSpan w:val="5"/>
            <w:vMerge w:val="restart"/>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844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8440" w:type="dxa"/>
            <w:vAlign w:val="bottom"/>
            <w:gridSpan w:val="5"/>
          </w:tcPr>
          <w:p>
            <w:pPr>
              <w:ind w:left="300"/>
              <w:spacing w:after="0"/>
              <w:rPr>
                <w:sz w:val="20"/>
                <w:szCs w:val="20"/>
                <w:color w:val="auto"/>
              </w:rPr>
            </w:pPr>
            <w:r>
              <w:rPr>
                <w:rFonts w:ascii="Arial" w:cs="Arial" w:eastAsia="Arial" w:hAnsi="Arial"/>
                <w:sz w:val="18"/>
                <w:szCs w:val="18"/>
                <w:color w:val="auto"/>
              </w:rPr>
              <w:t>Diluted net income per share from continuing operations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40" w:type="dxa"/>
            <w:vAlign w:val="bottom"/>
            <w:gridSpan w:val="5"/>
          </w:tcPr>
          <w:p>
            <w:pPr>
              <w:ind w:left="300"/>
              <w:spacing w:after="0"/>
              <w:rPr>
                <w:sz w:val="20"/>
                <w:szCs w:val="20"/>
                <w:color w:val="auto"/>
              </w:rPr>
            </w:pPr>
            <w:r>
              <w:rPr>
                <w:rFonts w:ascii="Arial" w:cs="Arial" w:eastAsia="Arial" w:hAnsi="Arial"/>
                <w:sz w:val="18"/>
                <w:szCs w:val="18"/>
                <w:color w:val="auto"/>
              </w:rPr>
              <w:t>Diluted net loss per share from discontinued operations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40" w:type="dxa"/>
            <w:vAlign w:val="bottom"/>
            <w:gridSpan w:val="5"/>
          </w:tcPr>
          <w:p>
            <w:pPr>
              <w:ind w:left="420"/>
              <w:spacing w:after="0"/>
              <w:rPr>
                <w:sz w:val="20"/>
                <w:szCs w:val="20"/>
                <w:color w:val="auto"/>
              </w:rPr>
            </w:pPr>
            <w:r>
              <w:rPr>
                <w:rFonts w:ascii="Arial" w:cs="Arial" w:eastAsia="Arial" w:hAnsi="Arial"/>
                <w:sz w:val="18"/>
                <w:szCs w:val="18"/>
                <w:color w:val="auto"/>
              </w:rPr>
              <w:t>Diluted net income per share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 periods ended March 31, 2014 and 2013, options to purchase 821,838 shares of common stock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 w:name="page8"/>
    <w:bookmarkEnd w:id="7"/>
    <w:p>
      <w:pPr>
        <w:ind w:left="332" w:right="640" w:hanging="332"/>
        <w:spacing w:after="0" w:line="277"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2032"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r>
      <w:tr>
        <w:trPr>
          <w:trHeight w:val="241"/>
        </w:trPr>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w w:val="98"/>
              </w:rPr>
              <w:t>March 31,</w:t>
            </w:r>
          </w:p>
        </w:tc>
        <w:tc>
          <w:tcPr>
            <w:tcW w:w="400" w:type="dxa"/>
            <w:vAlign w:val="bottom"/>
            <w:tcBorders>
              <w:bottom w:val="single" w:sz="8" w:color="auto"/>
            </w:tcBorders>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Cost of services</w:t>
            </w:r>
          </w:p>
        </w:tc>
        <w:tc>
          <w:tcPr>
            <w:tcW w:w="800" w:type="dxa"/>
            <w:vAlign w:val="bottom"/>
            <w:gridSpan w:val="2"/>
          </w:tcPr>
          <w:p>
            <w:pPr>
              <w:jc w:val="right"/>
              <w:ind w:right="64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504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32"/>
        <w:spacing w:after="0" w:line="255" w:lineRule="auto"/>
        <w:rPr>
          <w:sz w:val="20"/>
          <w:szCs w:val="20"/>
          <w:color w:val="auto"/>
        </w:rPr>
      </w:pPr>
      <w:r>
        <w:rPr>
          <w:rFonts w:ascii="Arial" w:cs="Arial" w:eastAsia="Arial" w:hAnsi="Arial"/>
          <w:sz w:val="18"/>
          <w:szCs w:val="18"/>
          <w:i w:val="1"/>
          <w:iCs w:val="1"/>
          <w:color w:val="auto"/>
        </w:rPr>
        <w:t>Stock Option and SAR Grants</w:t>
      </w:r>
      <w:r>
        <w:rPr>
          <w:rFonts w:ascii="Arial" w:cs="Arial" w:eastAsia="Arial" w:hAnsi="Arial"/>
          <w:sz w:val="18"/>
          <w:szCs w:val="18"/>
          <w:color w:val="auto"/>
        </w:rPr>
        <w:t>. We grant stock options and stock appreciation rights (“SARs”) under our 2001 Nonqualified Stock Plan.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216" w:lineRule="exact"/>
        <w:rPr>
          <w:sz w:val="20"/>
          <w:szCs w:val="20"/>
          <w:color w:val="auto"/>
        </w:rPr>
      </w:pPr>
    </w:p>
    <w:p>
      <w:pPr>
        <w:jc w:val="both"/>
        <w:ind w:left="332"/>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ind w:left="332"/>
        <w:spacing w:after="0"/>
        <w:rPr>
          <w:sz w:val="20"/>
          <w:szCs w:val="20"/>
          <w:color w:val="auto"/>
        </w:rPr>
      </w:pPr>
      <w:r>
        <w:rPr>
          <w:rFonts w:ascii="Arial" w:cs="Arial" w:eastAsia="Arial" w:hAnsi="Arial"/>
          <w:sz w:val="17"/>
          <w:szCs w:val="17"/>
          <w:i w:val="1"/>
          <w:iCs w:val="1"/>
          <w:color w:val="auto"/>
        </w:rPr>
        <w:t>Stock Option and SAR Grant Activity</w:t>
      </w:r>
      <w:r>
        <w:rPr>
          <w:rFonts w:ascii="Arial" w:cs="Arial" w:eastAsia="Arial" w:hAnsi="Arial"/>
          <w:sz w:val="17"/>
          <w:szCs w:val="17"/>
          <w:color w:val="auto"/>
        </w:rPr>
        <w:t>. We did not grant any stock options or SARs in the three month periods ended March 31, 2014 and 2013.</w:t>
      </w:r>
    </w:p>
    <w:p>
      <w:pPr>
        <w:spacing w:after="0" w:line="264"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i w:val="1"/>
          <w:iCs w:val="1"/>
          <w:color w:val="auto"/>
        </w:rPr>
        <w:t xml:space="preserve">Unrestricted Stock Grant Activity. </w:t>
      </w:r>
      <w:r>
        <w:rPr>
          <w:rFonts w:ascii="Arial" w:cs="Arial" w:eastAsia="Arial" w:hAnsi="Arial"/>
          <w:sz w:val="18"/>
          <w:szCs w:val="18"/>
          <w:color w:val="auto"/>
        </w:rPr>
        <w:t>We granted shares of unrestricted stock in 2014 and 2013 that affected financial results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and 2013. These grants are described below.</w:t>
      </w:r>
    </w:p>
    <w:p>
      <w:pPr>
        <w:spacing w:after="0" w:line="197" w:lineRule="exact"/>
        <w:rPr>
          <w:sz w:val="20"/>
          <w:szCs w:val="20"/>
          <w:color w:val="auto"/>
        </w:rPr>
      </w:pPr>
    </w:p>
    <w:p>
      <w:pPr>
        <w:jc w:val="both"/>
        <w:ind w:left="492"/>
        <w:spacing w:after="0" w:line="302" w:lineRule="auto"/>
        <w:rPr>
          <w:sz w:val="20"/>
          <w:szCs w:val="20"/>
          <w:color w:val="auto"/>
        </w:rPr>
      </w:pPr>
      <w:r>
        <w:rPr>
          <w:rFonts w:ascii="Arial" w:cs="Arial" w:eastAsia="Arial" w:hAnsi="Arial"/>
          <w:sz w:val="16"/>
          <w:szCs w:val="16"/>
          <w:i w:val="1"/>
          <w:iCs w:val="1"/>
          <w:color w:val="auto"/>
        </w:rPr>
        <w:t>2014 Grant</w:t>
      </w:r>
      <w:r>
        <w:rPr>
          <w:rFonts w:ascii="Arial" w:cs="Arial" w:eastAsia="Arial" w:hAnsi="Arial"/>
          <w:sz w:val="16"/>
          <w:szCs w:val="16"/>
          <w:color w:val="auto"/>
        </w:rPr>
        <w:t>. On March 26, 2014, we granted 152,000 shares of unrestricted stock to directors, officers and employees. The shares will be issued in two</w:t>
      </w:r>
      <w:r>
        <w:rPr>
          <w:rFonts w:ascii="Arial" w:cs="Arial" w:eastAsia="Arial" w:hAnsi="Arial"/>
          <w:sz w:val="16"/>
          <w:szCs w:val="16"/>
          <w:i w:val="1"/>
          <w:iCs w:val="1"/>
          <w:color w:val="auto"/>
        </w:rPr>
        <w:t xml:space="preserve"> </w:t>
      </w:r>
      <w:r>
        <w:rPr>
          <w:rFonts w:ascii="Arial" w:cs="Arial" w:eastAsia="Arial" w:hAnsi="Arial"/>
          <w:sz w:val="16"/>
          <w:szCs w:val="16"/>
          <w:color w:val="auto"/>
        </w:rPr>
        <w:t>equal installments shortly after June 30, 2014 and December 31, 2014, provided each grantee is serving as a director, officer or employee on those dates. The total stock-based compensation expense related to this grant is $876,000, of which $19,000 was charged to expense in the three months ended March 31, 2014 and we anticipate the remaining $857,000 will be charged to expense ratably over the remaining three quarters of 2014.</w:t>
      </w:r>
    </w:p>
    <w:p>
      <w:pPr>
        <w:spacing w:after="0" w:line="181" w:lineRule="exact"/>
        <w:rPr>
          <w:sz w:val="20"/>
          <w:szCs w:val="20"/>
          <w:color w:val="auto"/>
        </w:rPr>
      </w:pPr>
    </w:p>
    <w:p>
      <w:pPr>
        <w:jc w:val="both"/>
        <w:ind w:left="492"/>
        <w:spacing w:after="0" w:line="255" w:lineRule="auto"/>
        <w:rPr>
          <w:sz w:val="20"/>
          <w:szCs w:val="20"/>
          <w:color w:val="auto"/>
        </w:rPr>
      </w:pPr>
      <w:r>
        <w:rPr>
          <w:rFonts w:ascii="Arial" w:cs="Arial" w:eastAsia="Arial" w:hAnsi="Arial"/>
          <w:sz w:val="18"/>
          <w:szCs w:val="18"/>
          <w:i w:val="1"/>
          <w:iCs w:val="1"/>
          <w:color w:val="auto"/>
        </w:rPr>
        <w:t>2013 Grant</w:t>
      </w:r>
      <w:r>
        <w:rPr>
          <w:rFonts w:ascii="Arial" w:cs="Arial" w:eastAsia="Arial" w:hAnsi="Arial"/>
          <w:sz w:val="18"/>
          <w:szCs w:val="18"/>
          <w:color w:val="auto"/>
        </w:rPr>
        <w:t>. In April 2013, we granted 130,000 shares of unrestricted stock to directors, officers and employees. The shares were issued in two equal</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shortly after June 30, 2013 and December 31, 2013. We expensed the entire $623,000 stock-based compensation expense related to this grant in the second, third and fourth quarters of 2013. We issued shares of common stock related to this grant as follows: i) 51,374 net shares of common stock were issued in early July 2013 after employees surrendered 13,626 shares for which we paid $71,000 of withholding taxes on their behalf; and ii) 49,936 net shares of common stock were issued in early January 2014 after employees surrendered 15,064 shares for which we paid $92,000 of withholding taxes on their behalf.</w:t>
      </w: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2" w:right="239" w:bottom="1440" w:gutter="0" w:footer="0" w:header="0"/>
        </w:sectPr>
      </w:pPr>
    </w:p>
    <w:bookmarkStart w:id="8" w:name="page9"/>
    <w:bookmarkEnd w:id="8"/>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a single segment that reports to the chief operating decision makers.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4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2013</w:t>
            </w: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5,496</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3,510</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1,468</w:t>
            </w:r>
          </w:p>
        </w:tc>
      </w:tr>
      <w:tr>
        <w:trPr>
          <w:trHeight w:val="216"/>
        </w:trPr>
        <w:tc>
          <w:tcPr>
            <w:tcW w:w="44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4,978</w:t>
            </w:r>
          </w:p>
        </w:tc>
      </w:tr>
      <w:tr>
        <w:trPr>
          <w:trHeight w:val="21"/>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single foreign countries from which we derived 10% or more of total revenue in the three month periods ended March 31, 2014 and 2013.</w:t>
      </w:r>
    </w:p>
    <w:p>
      <w:pPr>
        <w:spacing w:after="0" w:line="275"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are no recently issued accounting pronouncements applicable to the Company that have not been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31, 2014.</w:t>
      </w:r>
    </w:p>
    <w:p>
      <w:pPr>
        <w:spacing w:after="0" w:line="193"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was $0.5 million and $1.1 million for the three months ended March 31, 2014 and 2013, respectively.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in both three month periods was based on the U.S. statutory rate of 34%, increased by state income taxes.</w:t>
      </w:r>
    </w:p>
    <w:p>
      <w:pPr>
        <w:spacing w:after="0" w:line="192" w:lineRule="exact"/>
        <w:rPr>
          <w:rFonts w:ascii="Arial" w:cs="Arial" w:eastAsia="Arial" w:hAnsi="Arial"/>
          <w:sz w:val="18"/>
          <w:szCs w:val="18"/>
          <w:color w:val="auto"/>
        </w:rPr>
      </w:pPr>
    </w:p>
    <w:p>
      <w:pPr>
        <w:jc w:val="both"/>
        <w:ind w:left="340"/>
        <w:spacing w:after="0" w:line="276" w:lineRule="auto"/>
        <w:rPr>
          <w:rFonts w:ascii="Arial" w:cs="Arial" w:eastAsia="Arial" w:hAnsi="Arial"/>
          <w:sz w:val="18"/>
          <w:szCs w:val="18"/>
          <w:color w:val="auto"/>
        </w:rPr>
      </w:pPr>
      <w:r>
        <w:rPr>
          <w:rFonts w:ascii="Arial" w:cs="Arial" w:eastAsia="Arial" w:hAnsi="Arial"/>
          <w:sz w:val="17"/>
          <w:szCs w:val="17"/>
          <w:color w:val="auto"/>
        </w:rPr>
        <w:t>In the three months ended March 31, 2014 and 2013,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$0.6 million and $0.8 million in the three month periods ended March 31, 2014 and 2013, respectively. These tax benefits were recorded as an equity adjustment to additional paid-in capital.</w:t>
      </w:r>
    </w:p>
    <w:p>
      <w:pPr>
        <w:spacing w:after="0" w:line="199"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As of March 31, 2014, we had a total of $1.1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In addition to deferred tax assets carried on our balance sheet, we also had net federal and state research and development credit carryforwards available at December 31, 2013 of $4.9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$0.6 million and $0.8 million equity adjustment to additional paid-in capital in the first quarters of 2014 and 2013 were related to these deferred tax assets.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9" w:name="page10"/>
    <w:bookmarkEnd w:id="9"/>
    <w:p>
      <w:pPr>
        <w:jc w:val="both"/>
        <w:ind w:left="3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In 2013, we shut down our DSL service assurance software product line, which was previously a component of our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Assurance Segment. We completed the shutdown in the fourth quarter of 2013 and no longer have any continuing involvement with, or cash flows from, this product line. The results of our DSL service assurance software product line have been included in discontinued operations in the consolidated statements of income and comprehensive income. The loss from discontinued operations attributable to the DSL service assurance software product line was (in thousands):</w:t>
      </w:r>
    </w:p>
    <w:p>
      <w:pPr>
        <w:spacing w:after="0" w:line="211"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Borders>
              <w:bottom w:val="single" w:sz="8" w:color="auto"/>
            </w:tcBorders>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9"/>
                <w:szCs w:val="19"/>
                <w:color w:val="auto"/>
              </w:rPr>
            </w:pPr>
          </w:p>
        </w:tc>
      </w:tr>
      <w:tr>
        <w:trPr>
          <w:trHeight w:val="418"/>
        </w:trPr>
        <w:tc>
          <w:tcPr>
            <w:tcW w:w="5260" w:type="dxa"/>
            <w:vAlign w:val="bottom"/>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tcPr>
          <w:p>
            <w:pPr>
              <w:jc w:val="right"/>
              <w:ind w:right="643"/>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r>
      <w:tr>
        <w:trPr>
          <w:trHeight w:val="202"/>
        </w:trPr>
        <w:tc>
          <w:tcPr>
            <w:tcW w:w="5260" w:type="dxa"/>
            <w:vAlign w:val="bottom"/>
          </w:tcPr>
          <w:p>
            <w:pPr>
              <w:ind w:left="120"/>
              <w:spacing w:after="0" w:line="201" w:lineRule="exact"/>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w w:val="99"/>
              </w:rPr>
              <w:t>(190)</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w:t>
            </w:r>
          </w:p>
        </w:tc>
      </w:tr>
      <w:tr>
        <w:trPr>
          <w:trHeight w:val="21"/>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consolidated statements of income and comprehensive income for the three months ended March 31, 2013 have been reclassified to reflect the effect of discontinued operations as set forth above.</w:t>
      </w:r>
    </w:p>
    <w:p>
      <w:pPr>
        <w:spacing w:after="0" w:line="19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There were no assets or liabilities remaining on the balance sheet as of March 31, 2014 related to the DSL Service Assurance Segment. The following table is a rollforward of our exit costs liability accounts for the three months ended March 31, 2014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Severance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8"/>
              </w:rPr>
              <w:t>and Employee-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41"/>
        </w:trPr>
        <w:tc>
          <w:tcPr>
            <w:tcW w:w="534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Related Costs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rPr>
                <w:sz w:val="20"/>
                <w:szCs w:val="20"/>
                <w:color w:val="auto"/>
              </w:rPr>
            </w:pPr>
          </w:p>
        </w:tc>
      </w:tr>
      <w:tr>
        <w:trPr>
          <w:trHeight w:val="202"/>
        </w:trPr>
        <w:tc>
          <w:tcPr>
            <w:tcW w:w="5340" w:type="dxa"/>
            <w:vAlign w:val="bottom"/>
          </w:tcPr>
          <w:p>
            <w:pPr>
              <w:ind w:left="340"/>
              <w:spacing w:after="0" w:line="201" w:lineRule="exact"/>
              <w:rPr>
                <w:sz w:val="20"/>
                <w:szCs w:val="20"/>
                <w:color w:val="auto"/>
              </w:rPr>
            </w:pPr>
            <w:r>
              <w:rPr>
                <w:rFonts w:ascii="Arial" w:cs="Arial" w:eastAsia="Arial" w:hAnsi="Arial"/>
                <w:sz w:val="18"/>
                <w:szCs w:val="18"/>
                <w:color w:val="auto"/>
              </w:rPr>
              <w:t>Balance at January 1, 2014</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90</w:t>
            </w:r>
          </w:p>
        </w:tc>
        <w:tc>
          <w:tcPr>
            <w:tcW w:w="3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90</w:t>
            </w:r>
          </w:p>
        </w:tc>
        <w:tc>
          <w:tcPr>
            <w:tcW w:w="3440" w:type="dxa"/>
            <w:vAlign w:val="bottom"/>
          </w:tcPr>
          <w:p>
            <w:pPr>
              <w:spacing w:after="0"/>
              <w:rPr>
                <w:sz w:val="17"/>
                <w:szCs w:val="17"/>
                <w:color w:val="auto"/>
              </w:rPr>
            </w:pPr>
          </w:p>
        </w:tc>
      </w:tr>
      <w:tr>
        <w:trPr>
          <w:trHeight w:val="230"/>
        </w:trPr>
        <w:tc>
          <w:tcPr>
            <w:tcW w:w="5340" w:type="dxa"/>
            <w:vAlign w:val="bottom"/>
          </w:tcPr>
          <w:p>
            <w:pPr>
              <w:ind w:left="340"/>
              <w:spacing w:after="0"/>
              <w:rPr>
                <w:sz w:val="20"/>
                <w:szCs w:val="20"/>
                <w:color w:val="auto"/>
              </w:rPr>
            </w:pPr>
            <w:r>
              <w:rPr>
                <w:rFonts w:ascii="Arial" w:cs="Arial" w:eastAsia="Arial" w:hAnsi="Arial"/>
                <w:sz w:val="18"/>
                <w:szCs w:val="18"/>
                <w:color w:val="auto"/>
              </w:rPr>
              <w:t>Amount charged to expense</w:t>
            </w: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20"/>
                <w:szCs w:val="20"/>
                <w:color w:val="auto"/>
              </w:rPr>
            </w:pPr>
          </w:p>
        </w:tc>
      </w:tr>
      <w:tr>
        <w:trPr>
          <w:trHeight w:val="250"/>
        </w:trPr>
        <w:tc>
          <w:tcPr>
            <w:tcW w:w="534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440" w:type="dxa"/>
            <w:vAlign w:val="bottom"/>
          </w:tcPr>
          <w:p>
            <w:pPr>
              <w:spacing w:after="0"/>
              <w:rPr>
                <w:sz w:val="21"/>
                <w:szCs w:val="21"/>
                <w:color w:val="auto"/>
              </w:rPr>
            </w:pPr>
          </w:p>
        </w:tc>
      </w:tr>
      <w:tr>
        <w:trPr>
          <w:trHeight w:val="216"/>
        </w:trPr>
        <w:tc>
          <w:tcPr>
            <w:tcW w:w="5340" w:type="dxa"/>
            <w:vAlign w:val="bottom"/>
          </w:tcPr>
          <w:p>
            <w:pPr>
              <w:ind w:left="340"/>
              <w:spacing w:after="0"/>
              <w:rPr>
                <w:sz w:val="20"/>
                <w:szCs w:val="20"/>
                <w:color w:val="auto"/>
              </w:rPr>
            </w:pPr>
            <w:r>
              <w:rPr>
                <w:rFonts w:ascii="Arial" w:cs="Arial" w:eastAsia="Arial" w:hAnsi="Arial"/>
                <w:sz w:val="18"/>
                <w:szCs w:val="18"/>
                <w:color w:val="auto"/>
              </w:rPr>
              <w:t>Balance at March 31, 2014</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r>
      <w:tr>
        <w:trPr>
          <w:trHeight w:val="21"/>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669"/>
        </w:trPr>
        <w:tc>
          <w:tcPr>
            <w:tcW w:w="53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jc w:val="right"/>
              <w:ind w:right="730"/>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34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6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2013,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Continuing Operations. </w:t>
      </w:r>
      <w:r>
        <w:rPr>
          <w:rFonts w:ascii="Arial" w:cs="Arial" w:eastAsia="Arial" w:hAnsi="Arial"/>
          <w:sz w:val="18"/>
          <w:szCs w:val="18"/>
          <w:color w:val="auto"/>
        </w:rPr>
        <w:t>We are primarily engaged in the development and sale of biometrics products and services. Our biometrics products are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and commercial biometrics systems, which are capable of determining or verifying an individual’s identity. The principal applications of biometrics systems include border control, law enforcement, national defense, secure credentialing, access control and background checks. We sell our software and services to systems integrators and OEMs, as well as directly to government customers. We also derive a minor portion of our revenue from the sale of imaging software to OEMs that incorporate that software into medical imaging products.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2013, we shut down our DSL service assurance software product line, which was previously a component of our DSL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Segment. The results of the DSL Service Assurance Segment have been reported as discontinued operations as we no longer have any significant continuing involvement with, or cash flows from, this segment.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from continuing operations for the three months ended March 31, 2014 was $0.9 million, or $0.04 per diluted share, which compares to net income from continuing operations of $2.0 million, or $0.09 per diluted share, for the three months ended March 31, 2013.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Lower net income from continuing operations in three month period ended March 31, 2014 compared to the corresponding period in 2013 was the result of:</w:t>
      </w:r>
    </w:p>
    <w:p>
      <w:pPr>
        <w:spacing w:after="0" w:line="275"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$0.9 million less operating income before patent related income in the current quarter. The decrease was primarily due to a large government software license sale in the year ago quarter that did not repeat itself in the current year quarter;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absence of any income from patent arrangement in the current year quarter compared to $0.8 million of such income in the year ago quarter;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income before income taxes from these two sources was partially offset by a $0.6 million decrease in income tax expense.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win proposals to supply software for biometrics systems projects either directly to government customers or indirectly through channel partners.</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Software license revenue decreased 51% from $3.3 million in the three months ended March 31, 2013 to $1.6 million in the same three month period in 2014. As a percentage of total revenue, software license revenue decreased from 67% in the first quarter of 2013 to 24% in the current year quarter. The dollar decrease in software license revenue was primarily due to a comparison against a strong quarter last year. The first quarter of 2013 featured: i) a large license sale to a U.S. government agency; and ii) higher international license sales. The first quarter of 2014 did not contain any license sales of the magnitude of last year’s U.S. government agency sale and international sales were lower than last year.</w:t>
      </w:r>
    </w:p>
    <w:p>
      <w:pPr>
        <w:spacing w:after="0" w:line="2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While we believe our potential customer project opportunities are encouraging, some of the projects that we thought would yield license revenue this quarter did not. We believe that we may experience an increase in license sales in future quarters as we win projects and release new products.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maintenance revenue increased 10% from $947,000 in the three months ended March 31, 2013 to $1.0 million in the same three month period in 2014. As a percentage of total revenue, software maintenance revenue decreased from 19% in the first quarter of 2013 to 16% in the current year quarter. The dollar increase in software maintenance revenue was primarily due to a base of maintenance revenue from contract renewals from prior periods that grows as we sell maintenance contracts with new licenses in current periods.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consist of fees we charge to perform software development, integration, installation, and customization services. Similar to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 revenue, services revenue depends on our ability to win biometrics systems projects either directly with government customers or in conjunction with channel partners. Services revenue will fluctuate when we commence new projects and/or when we complete projects that were started in previous periods.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Services increased 148% from $407,000 in the three months ended March 31, 2013 to $1.0 million in the same three month period in 2014. As a percentage of total revenue, services increased from 8% in the first quarter of 2013 to 15% in the current year quarter. The dollar increase in services was primarily due to a significant project with a U.S. government customer that commenced in the third quarter of 2013 and continued into the current quarter.</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Hardware sales</w:t>
      </w:r>
      <w:r>
        <w:rPr>
          <w:rFonts w:ascii="Arial" w:cs="Arial" w:eastAsia="Arial" w:hAnsi="Arial"/>
          <w:sz w:val="17"/>
          <w:szCs w:val="17"/>
          <w:color w:val="auto"/>
        </w:rPr>
        <w:t>. Hardware sales consist of sales of biometrics equipment to a single U.S. government customer for whom we developed biometrics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Hardware products sold to this customer integrate hardware purchased from third parties with software from other third parties as well as software from Aware. We evaluated the classification of gross versus net revenue recognition and determined gross recognition was appropriate.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Hardware sales increased from $0 in the three months ended March 31, 2013 to $2.6 million in the same three month period in 2014. As a percentage of total revenue, hardware sales increased from 0% in the first quarter of 2013 to 40% in the current year quarter. The dollar increase in hardware sales was due to the fact that we delivered products in the current quarter, but had not begun delivering products in the year ago quarter. We commenced shipments of equipment under this contract in May 2013.</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unable to predict future hardware sales with any degree of certainty because: i) our contract with the government provides pricing, but does not obligate the government to purchase any products until it provides us with purchase orders; and ii) we have minimal historical experience with which to make revenue projections.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 w:name="page13"/>
    <w:bookmarkEnd w:id="12"/>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Royalties. </w:t>
      </w:r>
      <w:r>
        <w:rPr>
          <w:rFonts w:ascii="Arial" w:cs="Arial" w:eastAsia="Arial" w:hAnsi="Arial"/>
          <w:sz w:val="16"/>
          <w:szCs w:val="16"/>
          <w:color w:val="auto"/>
        </w:rPr>
        <w:t>Royalties consist primarily of royalty payments we receive under DSL silicon contracts with two customers that incorporate our silicon intellectual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(“IP”) in their DSL chipsets. We sold our DSL IP business in 2009, but we continue to receive royalty payments from these customers.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increased 8% from $291,000 in the three months ended March 31, 2013 to $314,000 in the same three month period in 2014. As a percentage of total revenue, royalties decreased from 6% in the first quarter of 2013 to 5% in the current year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Although royalties increased slightly this quarter, we believe it is likely that royalties will decline in future quarters.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Cost of Hardware Sales. </w:t>
      </w:r>
      <w:r>
        <w:rPr>
          <w:rFonts w:ascii="Arial" w:cs="Arial" w:eastAsia="Arial" w:hAnsi="Arial"/>
          <w:sz w:val="17"/>
          <w:szCs w:val="17"/>
          <w:color w:val="auto"/>
        </w:rPr>
        <w:t>Cost of hardware sales consists primarily of the cost of third party equipment and software included in hardware shipments.</w:t>
      </w:r>
    </w:p>
    <w:p>
      <w:pPr>
        <w:spacing w:after="0" w:line="2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hardware sales increased from $0 in the three months ended March 31, 2013 to $1.9 million in the same three month period in 2014. Cost of hardware sales as a percentage of hardware sales were 72% in the first quarter of 2014, which means that gross margins on hardware sales were 28%. The dollar increase in cost of hardware sales was due to the occurrence of hardware shipments in the current quarter versus no shipments in the year ago quarter.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perform customer services projects. Such costs primarily include: i) engineering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fringe benefits, and facilities; and ii) engineering consultants and contractors.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increased 135% from $197,000 in the three months ended March 31, 2013 to $463,000 in the same three month period in 2014. Cost of services as a percentage of services decreased from 48% in the first quarter of 2013 to 46% in the current quarter, which means that gross margins on services increased from 52% to 54%.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135% increase in cost of services in the first quarter of 2014 was mainly attributable to a 148% increase in services 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48" w:lineRule="exact"/>
        <w:rPr>
          <w:sz w:val="20"/>
          <w:szCs w:val="20"/>
          <w:color w:val="auto"/>
        </w:rPr>
      </w:pPr>
    </w:p>
    <w:p>
      <w:pPr>
        <w:jc w:val="center"/>
        <w:ind w:left="40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40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5715</wp:posOffset>
            </wp:positionV>
            <wp:extent cx="1689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5"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1,279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973</w:t>
            </w:r>
          </w:p>
        </w:tc>
      </w:tr>
      <w:tr>
        <w:trPr>
          <w:trHeight w:val="250"/>
        </w:trPr>
        <w:tc>
          <w:tcPr>
            <w:tcW w:w="418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1,170</w:t>
            </w:r>
          </w:p>
        </w:tc>
      </w:tr>
      <w:tr>
        <w:trPr>
          <w:trHeight w:val="21"/>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31% from $1.0 million in the three months ended March 31, 2013 to $1.3 million in the same three month period in 2014. As a percentage of total revenue, research and development expense decreased slightly from 19.5% in the first quarter of 2013 to 19.3% in the corresponding period of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As the table immediately above indicates, total engineering costs in the first quarter of 2014 increased by $572,000 compared to the same period last year. The spending increase was primarily due to the hiring of engineering employees and contractors commencing in the second half of 2013 and continuing into the first quarter of 2014. Our engineering headcount, not including contractors, grew from 31 as of March 31, 2013 to 43 as of March 31, 2014. The expansion of our engineering organization was designed to provide the resources we required: i) to pursue new product development initiatives; and ii) to staff customer engineering services projects.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we described in the strategy section of our Form 10-K for the year ended December 31, 2013, we intend to introduce new products that will allow us to sell more software into biometrics systems and projects. Our preference is to develop such products internally, however to the extent we are unable to do that, we may purchase or license technologies from third parties. The engineering spending increase in the first quarter of 2014 is a reflection of that strategy. We anticipate that we will continue to focus our future research and development activities on enhancing our existing products and developing new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Sales and marketing expense was essentially unchanged at $0.9 million for the three months ended March 31, 2013 and 2014. As a percentage of total revenue, sales and marketing expense decreased from 18% in the first quarter of 2013 to 13% in the corresponding period of 2014.</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Unchanged sales and marketing expense in the first quarter of 2014 reflects two sets of offsetting factors. Sales and marketing expense increased due to the addition of one employee in 2014, but was offset by lower sales commission expense.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increased 10% from $0.7 million in the three months ended March 31, 2013 to $0.8 million in the same three month period in 2014. As a percentage of total revenue, general and administrative expense decreased from 15% in the first quarter of 2013 to 12% in the current year quarter.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$73,000 increase in general and administrative expense in the first quarter of 2014 was primarily due to higher patent filing expenses. Patent filing expenses in the first quarter of 2013 were reduced by a credit from our law firm related to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in general and administrative expense for the remaining three quarters of 2014 will increase over the first quarter of 2014 by approximately $215,000 per quarter. The increase is the result of an unrestricted stock award to directors and officers that the Compensation Committee authorized on March 26, 2014.</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from Patent Arrangement. </w:t>
      </w:r>
      <w:r>
        <w:rPr>
          <w:rFonts w:ascii="Arial" w:cs="Arial" w:eastAsia="Arial" w:hAnsi="Arial"/>
          <w:sz w:val="18"/>
          <w:szCs w:val="18"/>
          <w:color w:val="auto"/>
        </w:rPr>
        <w:t>In December 2010, we entered into an arrangement with an unaffiliated third party under which we assigned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patents in return for royalties on proceeds from patent monetization efforts by the third party. In the three months ended March 31, 2013, we received a royalty statement from this entity and recorded $0.8 million of income from this patent arrangement. There was no such income in the three months ended March 31, 2014. We are unable to predict how much more income we might receive from this arrangement, if any, because we do not know whether any patent monetization efforts by the third party will be successful</w:t>
      </w:r>
      <w:r>
        <w:rPr>
          <w:rFonts w:ascii="Arial" w:cs="Arial" w:eastAsia="Arial" w:hAnsi="Arial"/>
          <w:sz w:val="21"/>
          <w:szCs w:val="21"/>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increased 5% from $82,000 in three months ended March 31, 2013 to $86,000 in the same three month period in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 increase was primarily due higher levels of cash and investments in the current year period.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$0.5 million and $1.1 million for the three months ended March 31, 2014 and 2013, respectively.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in both three month periods was based on the U.S. statutory rate of 34%, increased by state income taxes.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three months ended March 31, 2014 and 2013,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$0.6 million and $0.8 million in the three month periods ended March 31, 2014 and 2013, respectively. These tax benefits were recorded as an equity adjustment to additional paid-in capital.</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we had a total of $1.1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2013 of $4.9 million and $0.7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$0.6 million and $0.8 million equity adjustment to additional paid-in capital in the first quarters of 2014 and 2013 were related to these deferred tax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Loss from discontinued operations. </w:t>
      </w:r>
      <w:r>
        <w:rPr>
          <w:rFonts w:ascii="Arial" w:cs="Arial" w:eastAsia="Arial" w:hAnsi="Arial"/>
          <w:sz w:val="18"/>
          <w:szCs w:val="18"/>
          <w:color w:val="auto"/>
        </w:rPr>
        <w:t>Loss from discontinued operations reflects operating results from our DSL service assurance software product line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shutdown during 2013. The loss from such discontinued operations was (in thousands):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2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r>
      <w:tr>
        <w:trPr>
          <w:trHeight w:val="241"/>
        </w:trPr>
        <w:tc>
          <w:tcPr>
            <w:tcW w:w="4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r>
      <w:tr>
        <w:trPr>
          <w:trHeight w:val="223"/>
        </w:trPr>
        <w:tc>
          <w:tcPr>
            <w:tcW w:w="4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9"/>
                <w:szCs w:val="19"/>
                <w:color w:val="auto"/>
              </w:rPr>
            </w:pPr>
          </w:p>
        </w:tc>
      </w:tr>
      <w:tr>
        <w:trPr>
          <w:trHeight w:val="418"/>
        </w:trPr>
        <w:tc>
          <w:tcPr>
            <w:tcW w:w="414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638</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w:t>
            </w:r>
          </w:p>
        </w:tc>
      </w:tr>
      <w:tr>
        <w:trPr>
          <w:trHeight w:val="202"/>
        </w:trPr>
        <w:tc>
          <w:tcPr>
            <w:tcW w:w="4140" w:type="dxa"/>
            <w:vAlign w:val="bottom"/>
          </w:tcPr>
          <w:p>
            <w:pPr>
              <w:ind w:left="160"/>
              <w:spacing w:after="0" w:line="201" w:lineRule="exact"/>
              <w:rPr>
                <w:sz w:val="20"/>
                <w:szCs w:val="20"/>
                <w:color w:val="auto"/>
              </w:rPr>
            </w:pPr>
            <w:r>
              <w:rPr>
                <w:rFonts w:ascii="Arial" w:cs="Arial" w:eastAsia="Arial" w:hAnsi="Arial"/>
                <w:sz w:val="18"/>
                <w:szCs w:val="18"/>
                <w:color w:val="auto"/>
              </w:rPr>
              <w:t>Loss before income taxes</w:t>
            </w:r>
          </w:p>
        </w:tc>
        <w:tc>
          <w:tcPr>
            <w:tcW w:w="820" w:type="dxa"/>
            <w:vAlign w:val="bottom"/>
          </w:tcPr>
          <w:p>
            <w:pPr>
              <w:spacing w:after="0"/>
              <w:rPr>
                <w:sz w:val="17"/>
                <w:szCs w:val="17"/>
                <w:color w:val="auto"/>
              </w:rPr>
            </w:pPr>
          </w:p>
        </w:tc>
        <w:tc>
          <w:tcPr>
            <w:tcW w:w="4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99"/>
              </w:rPr>
              <w:t>(190)</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Income taxes</w:t>
            </w: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8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1"/>
        </w:trPr>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2014, we had cash and cash equivalents of $74.4 million, which represented an increase of $1.7 million from December 31, 2013. The increase in cash was primarily due to $1.2 million of cash provided by operations and $0.5 million of cash provided by financing activities. Cash from these two sources was partially offset by $11,000 used to purchase capital equipment.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consisted of: i) $594,000 of excess tax benefits from stock-based compensation; and ii) $9,000 of proceeds from the exercise of stock options. Cash provided by these activities was partially offset by $92,000 of cash used to pay income taxes for employees who surrendered shares in connection with stock grants.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Capital spending was primarily related to the purchase of computer hardware used principally in engineering activities.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G to our Consolidated Financial Statements in Item 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March 31, 2014 consisted of two elements: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March 31, 2014, our cash and cash equivalents of $74.4 million were primarily invested in money market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2014, our investments of $2.9 million were invested in high yield bonds with five corporate debt issuers, which mature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through 2018. While we are exposed to default risk, the high current yield of these bonds largely mitigates interest rate risk. Therefore, due to the high current yield and the two to five 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2013,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57"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following financial statements from Aware, Inc.’s Quarterly Report on Form 10-Q for the quarter ended March 31, 2014, formatted in XBRL (eXtensible Business Reporting Language), as follows: (i) Consolidated Balance Sheets as of March 31, 2014 and December 31, 2013, (ii) Consolidated Statements of Income and Comprehensive Income for the Three Months Ended March 31, 2014 and March 31, 2013, (iii) Consolidated Statements of Cash Flows for the Three Months Ended March 31, 2014 and March 31, 2013, and (iv) Notes to Consolidated Financial Statements.</w:t>
      </w:r>
    </w:p>
    <w:p>
      <w:pPr>
        <w:spacing w:after="0" w:line="215" w:lineRule="exact"/>
        <w:rPr>
          <w:sz w:val="20"/>
          <w:szCs w:val="20"/>
          <w:color w:val="auto"/>
        </w:rPr>
      </w:pPr>
    </w:p>
    <w:p>
      <w:pPr>
        <w:ind w:firstLine="8"/>
        <w:spacing w:after="0" w:line="342" w:lineRule="auto"/>
        <w:tabs>
          <w:tab w:leader="none" w:pos="1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April 28, 2014</w:t>
      </w:r>
      <w:r>
        <w:rPr>
          <w:sz w:val="20"/>
          <w:szCs w:val="20"/>
          <w:color w:val="auto"/>
        </w:rPr>
        <w:tab/>
      </w:r>
      <w:r>
        <w:rPr>
          <w:rFonts w:ascii="Arial" w:cs="Arial" w:eastAsia="Arial" w:hAnsi="Arial"/>
          <w:sz w:val="17"/>
          <w:szCs w:val="17"/>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81"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April 28, 2014</w:t>
      </w:r>
      <w:r>
        <w:rPr>
          <w:sz w:val="20"/>
          <w:szCs w:val="20"/>
          <w:color w:val="auto"/>
        </w:rPr>
        <w:tab/>
      </w:r>
      <w:r>
        <w:rPr>
          <w:rFonts w:ascii="Arial" w:cs="Arial" w:eastAsia="Arial" w:hAnsi="Arial"/>
          <w:sz w:val="16"/>
          <w:szCs w:val="16"/>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April 28, 2014</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April 28, 2014</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March 31, 2014,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/s/ Kevin T. Russell</w:t>
            </w:r>
          </w:p>
        </w:tc>
        <w:tc>
          <w:tcPr>
            <w:tcW w:w="4580" w:type="dxa"/>
            <w:vAlign w:val="bottom"/>
            <w:gridSpan w:val="3"/>
          </w:tcPr>
          <w:p>
            <w:pPr>
              <w:ind w:left="1500"/>
              <w:spacing w:after="0"/>
              <w:rPr>
                <w:sz w:val="20"/>
                <w:szCs w:val="20"/>
                <w:color w:val="auto"/>
              </w:rPr>
            </w:pPr>
            <w:r>
              <w:rPr>
                <w:rFonts w:ascii="Arial" w:cs="Arial" w:eastAsia="Arial" w:hAnsi="Arial"/>
                <w:sz w:val="18"/>
                <w:szCs w:val="18"/>
                <w:color w:val="auto"/>
              </w:rPr>
              <w:t>/s/ Richard P. Moberg</w:t>
            </w:r>
          </w:p>
        </w:tc>
      </w:tr>
      <w:tr>
        <w:trPr>
          <w:trHeight w:val="202"/>
        </w:trPr>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co-Chief Executive Officer</w:t>
            </w:r>
          </w:p>
        </w:tc>
        <w:tc>
          <w:tcPr>
            <w:tcW w:w="2620" w:type="dxa"/>
            <w:vAlign w:val="bottom"/>
          </w:tcPr>
          <w:p>
            <w:pPr>
              <w:ind w:left="40"/>
              <w:spacing w:after="0" w:line="201" w:lineRule="exact"/>
              <w:rPr>
                <w:sz w:val="20"/>
                <w:szCs w:val="20"/>
                <w:color w:val="auto"/>
              </w:rPr>
            </w:pPr>
            <w:r>
              <w:rPr>
                <w:rFonts w:ascii="Arial" w:cs="Arial" w:eastAsia="Arial" w:hAnsi="Arial"/>
                <w:sz w:val="18"/>
                <w:szCs w:val="18"/>
                <w:color w:val="auto"/>
              </w:rPr>
              <w:t>&amp; co-President</w:t>
            </w:r>
          </w:p>
        </w:tc>
        <w:tc>
          <w:tcPr>
            <w:tcW w:w="1500" w:type="dxa"/>
            <w:vAlign w:val="bottom"/>
          </w:tcPr>
          <w:p>
            <w:pPr>
              <w:spacing w:after="0"/>
              <w:rPr>
                <w:sz w:val="17"/>
                <w:szCs w:val="17"/>
                <w:color w:val="auto"/>
              </w:rPr>
            </w:pPr>
          </w:p>
        </w:tc>
        <w:tc>
          <w:tcPr>
            <w:tcW w:w="1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co-Chief Executive Officer</w:t>
            </w:r>
          </w:p>
        </w:tc>
        <w:tc>
          <w:tcPr>
            <w:tcW w:w="1160" w:type="dxa"/>
            <w:vAlign w:val="bottom"/>
          </w:tcPr>
          <w:p>
            <w:pPr>
              <w:ind w:left="80"/>
              <w:spacing w:after="0" w:line="201" w:lineRule="exact"/>
              <w:rPr>
                <w:sz w:val="20"/>
                <w:szCs w:val="20"/>
                <w:color w:val="auto"/>
              </w:rPr>
            </w:pPr>
            <w:r>
              <w:rPr>
                <w:rFonts w:ascii="Arial" w:cs="Arial" w:eastAsia="Arial" w:hAnsi="Arial"/>
                <w:sz w:val="18"/>
                <w:szCs w:val="18"/>
                <w:color w:val="auto"/>
                <w:w w:val="89"/>
              </w:rPr>
              <w:t>&amp; co-President</w:t>
            </w:r>
          </w:p>
        </w:tc>
      </w:tr>
      <w:tr>
        <w:trPr>
          <w:trHeight w:val="230"/>
        </w:trPr>
        <w:tc>
          <w:tcPr>
            <w:tcW w:w="1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580" w:type="dxa"/>
            <w:vAlign w:val="bottom"/>
            <w:gridSpan w:val="3"/>
          </w:tcPr>
          <w:p>
            <w:pPr>
              <w:ind w:left="1500"/>
              <w:spacing w:after="0"/>
              <w:rPr>
                <w:sz w:val="20"/>
                <w:szCs w:val="20"/>
                <w:color w:val="auto"/>
              </w:rPr>
            </w:pPr>
            <w:r>
              <w:rPr>
                <w:rFonts w:ascii="Arial" w:cs="Arial" w:eastAsia="Arial" w:hAnsi="Arial"/>
                <w:sz w:val="18"/>
                <w:szCs w:val="18"/>
                <w:color w:val="auto"/>
              </w:rPr>
              <w:t>Chief Financial Officer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Date: April 28, 2014</w:t>
            </w:r>
          </w:p>
        </w:tc>
        <w:tc>
          <w:tcPr>
            <w:tcW w:w="4580" w:type="dxa"/>
            <w:vAlign w:val="bottom"/>
            <w:gridSpan w:val="3"/>
          </w:tcPr>
          <w:p>
            <w:pPr>
              <w:ind w:left="1500"/>
              <w:spacing w:after="0"/>
              <w:rPr>
                <w:sz w:val="20"/>
                <w:szCs w:val="20"/>
                <w:color w:val="auto"/>
              </w:rPr>
            </w:pPr>
            <w:r>
              <w:rPr>
                <w:rFonts w:ascii="Arial" w:cs="Arial" w:eastAsia="Arial" w:hAnsi="Arial"/>
                <w:sz w:val="18"/>
                <w:szCs w:val="18"/>
                <w:color w:val="auto"/>
              </w:rPr>
              <w:t>Date: April 28, 2014</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1"/>
    </w:lvl>
  </w:abstractNum>
  <w:abstractNum w:abstractNumId="1">
    <w:nsid w:val="79E2A9E3"/>
    <w:multiLevelType w:val="hybridMultilevel"/>
    <w:lvl w:ilvl="0">
      <w:lvlJc w:val="left"/>
      <w:lvlText w:val="%1)"/>
      <w:numFmt w:val="upperLetter"/>
      <w:start w:val="3"/>
    </w:lvl>
  </w:abstractNum>
  <w:abstractNum w:abstractNumId="2">
    <w:nsid w:val="7545E146"/>
    <w:multiLevelType w:val="hybridMultilevel"/>
    <w:lvl w:ilvl="0">
      <w:lvlJc w:val="left"/>
      <w:lvlText w:val="%1)"/>
      <w:numFmt w:val="upperLetter"/>
      <w:start w:val="4"/>
    </w:lvl>
  </w:abstractNum>
  <w:abstractNum w:abstractNumId="3">
    <w:nsid w:val="515F007C"/>
    <w:multiLevelType w:val="hybridMultilevel"/>
    <w:lvl w:ilvl="0">
      <w:lvlJc w:val="left"/>
      <w:lvlText w:val="%1)"/>
      <w:numFmt w:val="upperLetter"/>
      <w:start w:val="5"/>
    </w:lvl>
  </w:abstractNum>
  <w:abstractNum w:abstractNumId="4">
    <w:nsid w:val="5BD062C2"/>
    <w:multiLevelType w:val="hybridMultilevel"/>
    <w:lvl w:ilvl="0">
      <w:lvlJc w:val="left"/>
      <w:lvlText w:val="%1)"/>
      <w:numFmt w:val="upperLetter"/>
      <w:start w:val="6"/>
    </w:lvl>
  </w:abstractNum>
  <w:abstractNum w:abstractNumId="5">
    <w:nsid w:val="12200854"/>
    <w:multiLevelType w:val="hybridMultilevel"/>
    <w:lvl w:ilvl="0">
      <w:lvlJc w:val="left"/>
      <w:lvlText w:val="%1)"/>
      <w:numFmt w:val="upperLetter"/>
      <w:start w:val="7"/>
    </w:lvl>
  </w:abstractNum>
  <w:abstractNum w:abstractNumId="6">
    <w:nsid w:val="4DB127F8"/>
    <w:multiLevelType w:val="hybridMultilevel"/>
    <w:lvl w:ilvl="0">
      <w:lvlJc w:val="left"/>
      <w:lvlText w:val="(%1)"/>
      <w:numFmt w:val="upperLetter"/>
      <w:start w:val="9"/>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2019-12-06T15:16:30Z</dcterms:created>
  <dcterms:modified xsi:type="dcterms:W3CDTF">2019-12-06T15:16:30Z</dcterms:modified>
</cp:coreProperties>
</file>